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C2" w:rsidRPr="00E43FA4" w:rsidRDefault="00B25946" w:rsidP="00E43FA4">
      <w:pPr>
        <w:jc w:val="center"/>
        <w:rPr>
          <w:rFonts w:ascii="Lato" w:hAnsi="Lato"/>
          <w:b/>
        </w:rPr>
      </w:pPr>
      <w:r>
        <w:rPr>
          <w:rFonts w:ascii="Lato" w:hAnsi="Lato"/>
          <w:b/>
          <w:noProof/>
          <w:sz w:val="28"/>
          <w:lang w:eastAsia="fr-FR"/>
        </w:rPr>
        <w:drawing>
          <wp:anchor distT="0" distB="0" distL="114300" distR="114300" simplePos="0" relativeHeight="251659264" behindDoc="0" locked="0" layoutInCell="1" allowOverlap="1">
            <wp:simplePos x="0" y="0"/>
            <wp:positionH relativeFrom="column">
              <wp:posOffset>6286500</wp:posOffset>
            </wp:positionH>
            <wp:positionV relativeFrom="paragraph">
              <wp:posOffset>-724535</wp:posOffset>
            </wp:positionV>
            <wp:extent cx="647700" cy="88492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3" cy="885269"/>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noProof/>
          <w:sz w:val="28"/>
          <w:lang w:eastAsia="fr-FR"/>
        </w:rPr>
        <w:drawing>
          <wp:anchor distT="0" distB="0" distL="114300" distR="114300" simplePos="0" relativeHeight="251658240" behindDoc="0" locked="0" layoutInCell="1" allowOverlap="1">
            <wp:simplePos x="0" y="0"/>
            <wp:positionH relativeFrom="column">
              <wp:posOffset>-247015</wp:posOffset>
            </wp:positionH>
            <wp:positionV relativeFrom="paragraph">
              <wp:posOffset>-647700</wp:posOffset>
            </wp:positionV>
            <wp:extent cx="723900"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B81E74" w:rsidRPr="00E43FA4">
        <w:rPr>
          <w:rFonts w:ascii="Lato" w:hAnsi="Lato"/>
          <w:b/>
          <w:sz w:val="28"/>
        </w:rPr>
        <w:t>Protocole de prise en charge des situations de harcèle</w:t>
      </w:r>
      <w:bookmarkStart w:id="0" w:name="_GoBack"/>
      <w:bookmarkEnd w:id="0"/>
      <w:r w:rsidR="00B81E74" w:rsidRPr="00E43FA4">
        <w:rPr>
          <w:rFonts w:ascii="Lato" w:hAnsi="Lato"/>
          <w:b/>
          <w:sz w:val="28"/>
        </w:rPr>
        <w:t>ment entre pairs</w:t>
      </w:r>
    </w:p>
    <w:p w:rsidR="001253EF" w:rsidRPr="00E43FA4" w:rsidRDefault="000472C2" w:rsidP="00B81E74">
      <w:pPr>
        <w:shd w:val="clear" w:color="auto" w:fill="D9D9D9" w:themeFill="background1" w:themeFillShade="D9"/>
        <w:jc w:val="center"/>
        <w:rPr>
          <w:rFonts w:ascii="Lato" w:hAnsi="Lato"/>
          <w:b/>
          <w:color w:val="4F81BD" w:themeColor="accent1"/>
        </w:rPr>
      </w:pPr>
      <w:r w:rsidRPr="00E43FA4">
        <w:rPr>
          <w:rFonts w:ascii="Lato" w:hAnsi="Lato"/>
          <w:b/>
          <w:color w:val="4F81BD" w:themeColor="accent1"/>
        </w:rPr>
        <w:t>Quel est le c</w:t>
      </w:r>
      <w:r w:rsidR="001253EF" w:rsidRPr="00E43FA4">
        <w:rPr>
          <w:rFonts w:ascii="Lato" w:hAnsi="Lato"/>
          <w:b/>
          <w:color w:val="4F81BD" w:themeColor="accent1"/>
        </w:rPr>
        <w:t>adre institutionnel</w:t>
      </w:r>
      <w:r w:rsidRPr="00E43FA4">
        <w:rPr>
          <w:rFonts w:ascii="Lato" w:hAnsi="Lato"/>
          <w:b/>
          <w:color w:val="4F81BD" w:themeColor="accent1"/>
        </w:rPr>
        <w:t> ?</w:t>
      </w:r>
    </w:p>
    <w:p w:rsidR="003D5110" w:rsidRPr="00E43FA4" w:rsidRDefault="00F83DE3" w:rsidP="00AB20F1">
      <w:pPr>
        <w:spacing w:after="0"/>
        <w:ind w:firstLine="708"/>
        <w:rPr>
          <w:rFonts w:ascii="Lato" w:hAnsi="Lato"/>
        </w:rPr>
      </w:pPr>
      <w:r w:rsidRPr="00E43FA4">
        <w:rPr>
          <w:rFonts w:ascii="Lato" w:hAnsi="Lato"/>
        </w:rPr>
        <w:t>Suite à la Loi de programmation et de refondation de l’école de juillet 2013, la lutte contre le harcèlement a été décrétée priorité nationale.</w:t>
      </w:r>
    </w:p>
    <w:p w:rsidR="003D5110" w:rsidRPr="00E43FA4" w:rsidRDefault="003D5110" w:rsidP="00F26E41">
      <w:pPr>
        <w:spacing w:after="0"/>
        <w:rPr>
          <w:rFonts w:ascii="Lato" w:hAnsi="Lato"/>
        </w:rPr>
      </w:pPr>
      <w:r w:rsidRPr="00E43FA4">
        <w:rPr>
          <w:rFonts w:ascii="Lato" w:hAnsi="Lato"/>
        </w:rPr>
        <w:t xml:space="preserve">Dans le cadre de la politique nationale déclinée en 4 axes : </w:t>
      </w:r>
      <w:r w:rsidRPr="00E43FA4">
        <w:rPr>
          <w:rFonts w:ascii="Lato" w:hAnsi="Lato"/>
          <w:b/>
        </w:rPr>
        <w:t>sensibiliser, former, prendre en charge et prévenir</w:t>
      </w:r>
      <w:r w:rsidR="00CE759C" w:rsidRPr="00E43FA4">
        <w:rPr>
          <w:rFonts w:ascii="Lato" w:hAnsi="Lato"/>
        </w:rPr>
        <w:t>,</w:t>
      </w:r>
      <w:r w:rsidR="001253EF" w:rsidRPr="00E43FA4">
        <w:rPr>
          <w:rFonts w:ascii="Lato" w:hAnsi="Lato"/>
        </w:rPr>
        <w:t xml:space="preserve"> </w:t>
      </w:r>
      <w:r w:rsidR="00CE759C" w:rsidRPr="00E43FA4">
        <w:rPr>
          <w:rFonts w:ascii="Lato" w:hAnsi="Lato"/>
        </w:rPr>
        <w:t>l</w:t>
      </w:r>
      <w:r w:rsidRPr="00E43FA4">
        <w:rPr>
          <w:rFonts w:ascii="Lato" w:hAnsi="Lato"/>
        </w:rPr>
        <w:t>es écoles doivent se doter d’un plan de prévention ainsi qu’un protocole</w:t>
      </w:r>
      <w:r w:rsidR="00F83DE3" w:rsidRPr="00E43FA4">
        <w:rPr>
          <w:rFonts w:ascii="Lato" w:hAnsi="Lato"/>
        </w:rPr>
        <w:t xml:space="preserve"> validé par le conseil d’école</w:t>
      </w:r>
      <w:r w:rsidR="00A92633" w:rsidRPr="00E43FA4">
        <w:rPr>
          <w:rFonts w:ascii="Lato" w:hAnsi="Lato"/>
        </w:rPr>
        <w:t xml:space="preserve"> ou la conseil d’administration.</w:t>
      </w:r>
      <w:r w:rsidR="00CE759C" w:rsidRPr="00E43FA4">
        <w:rPr>
          <w:rFonts w:ascii="Lato" w:hAnsi="Lato"/>
        </w:rPr>
        <w:t xml:space="preserve"> Dans le cadre de la</w:t>
      </w:r>
      <w:r w:rsidR="00A92633" w:rsidRPr="00E43FA4">
        <w:rPr>
          <w:rFonts w:ascii="Lato" w:hAnsi="Lato"/>
        </w:rPr>
        <w:t xml:space="preserve"> feuille de route</w:t>
      </w:r>
      <w:r w:rsidR="00F26E41" w:rsidRPr="00E43FA4">
        <w:rPr>
          <w:rFonts w:ascii="Lato" w:hAnsi="Lato"/>
        </w:rPr>
        <w:t xml:space="preserve"> du plan de prévention académique</w:t>
      </w:r>
      <w:r w:rsidR="00CE759C" w:rsidRPr="00E43FA4">
        <w:rPr>
          <w:rFonts w:ascii="Lato" w:hAnsi="Lato"/>
        </w:rPr>
        <w:t xml:space="preserve">, l’utilisation de la méthode </w:t>
      </w:r>
      <w:r w:rsidR="00F26E41" w:rsidRPr="00E43FA4">
        <w:rPr>
          <w:rFonts w:ascii="Lato" w:hAnsi="Lato"/>
        </w:rPr>
        <w:t>de la préoccupation partagée issue des travaux d’</w:t>
      </w:r>
      <w:proofErr w:type="spellStart"/>
      <w:r w:rsidR="00F26E41" w:rsidRPr="00E43FA4">
        <w:rPr>
          <w:rFonts w:ascii="Lato" w:hAnsi="Lato"/>
        </w:rPr>
        <w:t>Anatol</w:t>
      </w:r>
      <w:proofErr w:type="spellEnd"/>
      <w:r w:rsidR="00F26E41" w:rsidRPr="00E43FA4">
        <w:rPr>
          <w:rFonts w:ascii="Lato" w:hAnsi="Lato"/>
        </w:rPr>
        <w:t xml:space="preserve"> Pikas a été retenue sur l’académie.</w:t>
      </w:r>
    </w:p>
    <w:p w:rsidR="00063D89" w:rsidRPr="00E43FA4" w:rsidRDefault="00063D89" w:rsidP="00F26E41">
      <w:pPr>
        <w:spacing w:after="0"/>
        <w:rPr>
          <w:rFonts w:ascii="Lato" w:hAnsi="Lato"/>
        </w:rPr>
      </w:pPr>
    </w:p>
    <w:p w:rsidR="00734978" w:rsidRPr="00E43FA4" w:rsidRDefault="000472C2" w:rsidP="00063D89">
      <w:pPr>
        <w:shd w:val="clear" w:color="auto" w:fill="D9D9D9" w:themeFill="background1" w:themeFillShade="D9"/>
        <w:rPr>
          <w:rFonts w:ascii="Lato" w:hAnsi="Lato"/>
          <w:b/>
          <w:color w:val="4F81BD" w:themeColor="accent1"/>
        </w:rPr>
      </w:pPr>
      <w:r w:rsidRPr="00E43FA4">
        <w:rPr>
          <w:rFonts w:ascii="Lato" w:hAnsi="Lato"/>
          <w:b/>
          <w:color w:val="4F81BD" w:themeColor="accent1"/>
        </w:rPr>
        <w:t xml:space="preserve">Quelles sont les </w:t>
      </w:r>
      <w:r w:rsidR="00734978" w:rsidRPr="00E43FA4">
        <w:rPr>
          <w:rFonts w:ascii="Lato" w:hAnsi="Lato"/>
          <w:b/>
          <w:color w:val="4F81BD" w:themeColor="accent1"/>
        </w:rPr>
        <w:t>caractéristiques du harcèlement</w:t>
      </w:r>
      <w:r w:rsidRPr="00E43FA4">
        <w:rPr>
          <w:rFonts w:ascii="Lato" w:hAnsi="Lato"/>
          <w:b/>
          <w:color w:val="4F81BD" w:themeColor="accent1"/>
        </w:rPr>
        <w:t xml:space="preserve"> ? </w:t>
      </w:r>
    </w:p>
    <w:p w:rsidR="000472C2" w:rsidRPr="00E43FA4" w:rsidRDefault="00063D89" w:rsidP="00DE3992">
      <w:pPr>
        <w:rPr>
          <w:rFonts w:ascii="Lato" w:hAnsi="Lato"/>
        </w:rPr>
      </w:pPr>
      <w:r w:rsidRPr="00E43FA4">
        <w:rPr>
          <w:rFonts w:ascii="Lato" w:hAnsi="Lato"/>
        </w:rPr>
        <w:t xml:space="preserve">Si votre enfant subit de façon répétée des violences verbales et/ou morales (surnoms méchants, insultes, moqueries, brimades, rejets du groupe…), des violences physiques (bousculades, coups), des vols, il est victime de harcèlement. Lorsque ces mêmes faits se déroulent sur les réseaux sociaux, par SMS ou par courriel, on parle de </w:t>
      </w:r>
      <w:proofErr w:type="spellStart"/>
      <w:r w:rsidRPr="00E43FA4">
        <w:rPr>
          <w:rFonts w:ascii="Lato" w:hAnsi="Lato"/>
        </w:rPr>
        <w:t>cyberharcèlement</w:t>
      </w:r>
      <w:proofErr w:type="spellEnd"/>
      <w:r w:rsidRPr="00E43FA4">
        <w:rPr>
          <w:rFonts w:ascii="Lato" w:hAnsi="Lato"/>
        </w:rPr>
        <w:t>. Les conséquences peuvent être graves (baisse des résultats scolaires, perte de l’estime de soi, décrochage scolaire, profond mal être).</w:t>
      </w:r>
    </w:p>
    <w:p w:rsidR="00063D89" w:rsidRPr="00E43FA4" w:rsidRDefault="00B25946" w:rsidP="00DE3992">
      <w:pPr>
        <w:rPr>
          <w:rFonts w:ascii="Lato" w:hAnsi="Lato"/>
        </w:rPr>
      </w:pPr>
      <w:hyperlink r:id="rId9" w:history="1">
        <w:r w:rsidR="00063D89" w:rsidRPr="00E43FA4">
          <w:rPr>
            <w:rStyle w:val="Lienhypertexte"/>
            <w:rFonts w:ascii="Lato" w:hAnsi="Lato"/>
          </w:rPr>
          <w:t>https://www.nonauharcelement.education.gouv.fr/que-faire/mon-enfant-est-victime/</w:t>
        </w:r>
      </w:hyperlink>
    </w:p>
    <w:p w:rsidR="00063D89" w:rsidRPr="00E43FA4" w:rsidRDefault="00063D89" w:rsidP="00063D89">
      <w:pPr>
        <w:shd w:val="clear" w:color="auto" w:fill="D9D9D9" w:themeFill="background1" w:themeFillShade="D9"/>
        <w:rPr>
          <w:rFonts w:ascii="Lato" w:hAnsi="Lato"/>
          <w:b/>
          <w:color w:val="4F81BD" w:themeColor="accent1"/>
        </w:rPr>
      </w:pPr>
      <w:r w:rsidRPr="00E43FA4">
        <w:rPr>
          <w:rFonts w:ascii="Lato" w:hAnsi="Lato"/>
          <w:b/>
          <w:color w:val="4F81BD" w:themeColor="accent1"/>
        </w:rPr>
        <w:t>Quelques éléments explicatifs sur la méthode de la préoccupation partagée</w:t>
      </w:r>
    </w:p>
    <w:p w:rsidR="00063D89" w:rsidRPr="00E43FA4" w:rsidRDefault="00063D89" w:rsidP="00AB20F1">
      <w:pPr>
        <w:spacing w:after="0"/>
        <w:rPr>
          <w:rFonts w:ascii="Lato" w:hAnsi="Lato"/>
          <w:color w:val="000000" w:themeColor="text1"/>
        </w:rPr>
      </w:pPr>
      <w:r w:rsidRPr="00E43FA4">
        <w:rPr>
          <w:rFonts w:ascii="Lato" w:hAnsi="Lato"/>
          <w:color w:val="000000" w:themeColor="text1"/>
        </w:rPr>
        <w:t xml:space="preserve">Série d’entretiens de courte durée avec tous les protagonistes : cible, intimidateurs et témoins avec </w:t>
      </w:r>
      <w:r w:rsidR="00565A37" w:rsidRPr="00E43FA4">
        <w:rPr>
          <w:rFonts w:ascii="Lato" w:hAnsi="Lato"/>
          <w:color w:val="000000" w:themeColor="text1"/>
        </w:rPr>
        <w:t>reconnaissance</w:t>
      </w:r>
      <w:r w:rsidRPr="00E43FA4">
        <w:rPr>
          <w:rFonts w:ascii="Lato" w:hAnsi="Lato"/>
          <w:color w:val="000000" w:themeColor="text1"/>
        </w:rPr>
        <w:t xml:space="preserve"> de la préoccupation pour la cible visant à rechercher des solutions constructives.</w:t>
      </w:r>
    </w:p>
    <w:p w:rsidR="00063D89" w:rsidRPr="00E43FA4" w:rsidRDefault="00565A37" w:rsidP="00AB20F1">
      <w:pPr>
        <w:spacing w:after="0"/>
        <w:rPr>
          <w:rFonts w:ascii="Lato" w:hAnsi="Lato"/>
          <w:color w:val="000000" w:themeColor="text1"/>
        </w:rPr>
      </w:pPr>
      <w:r w:rsidRPr="00E43FA4">
        <w:rPr>
          <w:rFonts w:ascii="Lato" w:hAnsi="Lato"/>
          <w:color w:val="000000" w:themeColor="text1"/>
        </w:rPr>
        <w:t xml:space="preserve">Méthode non </w:t>
      </w:r>
      <w:proofErr w:type="spellStart"/>
      <w:r w:rsidRPr="00E43FA4">
        <w:rPr>
          <w:rFonts w:ascii="Lato" w:hAnsi="Lato"/>
          <w:color w:val="000000" w:themeColor="text1"/>
        </w:rPr>
        <w:t>blâmante</w:t>
      </w:r>
      <w:proofErr w:type="spellEnd"/>
      <w:r w:rsidRPr="00E43FA4">
        <w:rPr>
          <w:rFonts w:ascii="Lato" w:hAnsi="Lato"/>
          <w:color w:val="000000" w:themeColor="text1"/>
        </w:rPr>
        <w:t>.</w:t>
      </w:r>
    </w:p>
    <w:p w:rsidR="00565A37" w:rsidRPr="00E43FA4" w:rsidRDefault="00565A37" w:rsidP="00AB20F1">
      <w:pPr>
        <w:spacing w:after="0"/>
        <w:rPr>
          <w:rFonts w:ascii="Lato" w:hAnsi="Lato"/>
          <w:color w:val="000000" w:themeColor="text1"/>
        </w:rPr>
      </w:pPr>
    </w:p>
    <w:p w:rsidR="00734978" w:rsidRPr="00E43FA4" w:rsidRDefault="00063D89" w:rsidP="00565A37">
      <w:pPr>
        <w:shd w:val="clear" w:color="auto" w:fill="D9D9D9" w:themeFill="background1" w:themeFillShade="D9"/>
        <w:spacing w:after="0"/>
        <w:rPr>
          <w:rFonts w:ascii="Lato" w:hAnsi="Lato"/>
          <w:b/>
          <w:color w:val="4F81BD" w:themeColor="accent1"/>
        </w:rPr>
      </w:pPr>
      <w:r w:rsidRPr="00E43FA4">
        <w:rPr>
          <w:rFonts w:ascii="Lato" w:hAnsi="Lato"/>
          <w:b/>
          <w:color w:val="4F81BD" w:themeColor="accent1"/>
        </w:rPr>
        <w:t>Quel est le rôle du pôle ressource</w:t>
      </w:r>
    </w:p>
    <w:p w:rsidR="00565A37" w:rsidRPr="00E43FA4" w:rsidRDefault="00565A37" w:rsidP="00DE3992">
      <w:pPr>
        <w:rPr>
          <w:rFonts w:ascii="Lato" w:hAnsi="Lato"/>
          <w:b/>
          <w:color w:val="FF0000"/>
        </w:rPr>
      </w:pPr>
    </w:p>
    <w:p w:rsidR="00B10D6E" w:rsidRPr="00E43FA4" w:rsidRDefault="00B10D6E" w:rsidP="00B10D6E">
      <w:pPr>
        <w:pStyle w:val="Paragraphedeliste"/>
        <w:numPr>
          <w:ilvl w:val="0"/>
          <w:numId w:val="1"/>
        </w:numPr>
        <w:rPr>
          <w:rFonts w:ascii="Lato" w:hAnsi="Lato"/>
          <w:color w:val="000000" w:themeColor="text1"/>
        </w:rPr>
      </w:pPr>
      <w:r w:rsidRPr="00E43FA4">
        <w:rPr>
          <w:rFonts w:ascii="Lato" w:hAnsi="Lato"/>
          <w:color w:val="000000" w:themeColor="text1"/>
        </w:rPr>
        <w:t>Apprécier la gravité de la situation</w:t>
      </w:r>
    </w:p>
    <w:p w:rsidR="00B10D6E" w:rsidRPr="00E43FA4" w:rsidRDefault="00B10D6E" w:rsidP="00B10D6E">
      <w:pPr>
        <w:pStyle w:val="Paragraphedeliste"/>
        <w:numPr>
          <w:ilvl w:val="0"/>
          <w:numId w:val="1"/>
        </w:numPr>
        <w:rPr>
          <w:rFonts w:ascii="Lato" w:hAnsi="Lato"/>
          <w:color w:val="000000" w:themeColor="text1"/>
        </w:rPr>
      </w:pPr>
      <w:r w:rsidRPr="00E43FA4">
        <w:rPr>
          <w:rFonts w:ascii="Lato" w:hAnsi="Lato"/>
          <w:color w:val="000000" w:themeColor="text1"/>
        </w:rPr>
        <w:t>Appuyer les équipes dans la prise en charge</w:t>
      </w:r>
    </w:p>
    <w:p w:rsidR="00B10D6E" w:rsidRPr="00E43FA4" w:rsidRDefault="00B10D6E" w:rsidP="00B10D6E">
      <w:pPr>
        <w:pStyle w:val="Paragraphedeliste"/>
        <w:numPr>
          <w:ilvl w:val="0"/>
          <w:numId w:val="1"/>
        </w:numPr>
        <w:rPr>
          <w:rFonts w:ascii="Lato" w:hAnsi="Lato"/>
          <w:color w:val="000000" w:themeColor="text1"/>
        </w:rPr>
      </w:pPr>
      <w:r w:rsidRPr="00E43FA4">
        <w:rPr>
          <w:rFonts w:ascii="Lato" w:hAnsi="Lato"/>
          <w:color w:val="000000" w:themeColor="text1"/>
        </w:rPr>
        <w:t>Appliquer la méthode la préoccupation partagée quand cela est possible</w:t>
      </w:r>
    </w:p>
    <w:p w:rsidR="00B10D6E" w:rsidRPr="00E43FA4" w:rsidRDefault="00B10D6E" w:rsidP="00B10D6E">
      <w:pPr>
        <w:pStyle w:val="Paragraphedeliste"/>
        <w:numPr>
          <w:ilvl w:val="0"/>
          <w:numId w:val="1"/>
        </w:numPr>
        <w:rPr>
          <w:rFonts w:ascii="Lato" w:hAnsi="Lato"/>
          <w:color w:val="000000" w:themeColor="text1"/>
        </w:rPr>
      </w:pPr>
      <w:r w:rsidRPr="00E43FA4">
        <w:rPr>
          <w:rFonts w:ascii="Lato" w:hAnsi="Lato"/>
          <w:color w:val="000000" w:themeColor="text1"/>
        </w:rPr>
        <w:t>Saisir le pilote le pilote quand la situation l’exige</w:t>
      </w:r>
    </w:p>
    <w:p w:rsidR="00B10D6E" w:rsidRPr="00E43FA4" w:rsidRDefault="00B10D6E" w:rsidP="00DE3992">
      <w:pPr>
        <w:rPr>
          <w:rFonts w:ascii="Lato" w:hAnsi="Lato"/>
          <w:b/>
          <w:color w:val="FF0000"/>
        </w:rPr>
      </w:pPr>
    </w:p>
    <w:p w:rsidR="00CB39B4" w:rsidRPr="00E43FA4" w:rsidRDefault="000472C2" w:rsidP="00565A37">
      <w:pPr>
        <w:shd w:val="clear" w:color="auto" w:fill="D9D9D9" w:themeFill="background1" w:themeFillShade="D9"/>
        <w:rPr>
          <w:rFonts w:ascii="Lato" w:hAnsi="Lato"/>
          <w:b/>
          <w:color w:val="4F81BD" w:themeColor="accent1"/>
        </w:rPr>
      </w:pPr>
      <w:r w:rsidRPr="00E43FA4">
        <w:rPr>
          <w:rFonts w:ascii="Lato" w:hAnsi="Lato"/>
          <w:b/>
          <w:color w:val="4F81BD" w:themeColor="accent1"/>
        </w:rPr>
        <w:t>Qui fait partie du</w:t>
      </w:r>
      <w:r w:rsidR="00CB39B4" w:rsidRPr="00E43FA4">
        <w:rPr>
          <w:rFonts w:ascii="Lato" w:hAnsi="Lato"/>
          <w:b/>
          <w:color w:val="4F81BD" w:themeColor="accent1"/>
        </w:rPr>
        <w:t xml:space="preserve"> pôle ressource</w:t>
      </w:r>
      <w:r w:rsidRPr="00E43FA4">
        <w:rPr>
          <w:rFonts w:ascii="Lato" w:hAnsi="Lato"/>
          <w:b/>
          <w:color w:val="4F81BD" w:themeColor="accent1"/>
        </w:rPr>
        <w:t> ?</w:t>
      </w:r>
    </w:p>
    <w:p w:rsidR="0028597F" w:rsidRPr="00E43FA4" w:rsidRDefault="00FF32B8" w:rsidP="00DE3992">
      <w:pPr>
        <w:rPr>
          <w:rFonts w:ascii="Lato" w:hAnsi="Lato"/>
        </w:rPr>
      </w:pPr>
      <w:r w:rsidRPr="00E43FA4">
        <w:rPr>
          <w:rFonts w:ascii="Lato" w:hAnsi="Lato"/>
        </w:rPr>
        <w:t xml:space="preserve">A définir avec le CE : professeurs, AS, infirmière, CPE, agents. </w:t>
      </w:r>
    </w:p>
    <w:p w:rsidR="00035D69" w:rsidRPr="00E43FA4" w:rsidRDefault="000472C2" w:rsidP="00D40CB6">
      <w:pPr>
        <w:shd w:val="clear" w:color="auto" w:fill="D9D9D9" w:themeFill="background1" w:themeFillShade="D9"/>
        <w:rPr>
          <w:rFonts w:ascii="Lato" w:hAnsi="Lato"/>
          <w:b/>
          <w:color w:val="4F81BD" w:themeColor="accent1"/>
        </w:rPr>
      </w:pPr>
      <w:r w:rsidRPr="00E43FA4">
        <w:rPr>
          <w:rFonts w:ascii="Lato" w:hAnsi="Lato"/>
          <w:b/>
          <w:color w:val="4F81BD" w:themeColor="accent1"/>
        </w:rPr>
        <w:t>Quel est le c</w:t>
      </w:r>
      <w:r w:rsidR="00035D69" w:rsidRPr="00E43FA4">
        <w:rPr>
          <w:rFonts w:ascii="Lato" w:hAnsi="Lato"/>
          <w:b/>
          <w:color w:val="4F81BD" w:themeColor="accent1"/>
        </w:rPr>
        <w:t>ircuit de prise en charge</w:t>
      </w:r>
    </w:p>
    <w:sectPr w:rsidR="00035D69" w:rsidRPr="00E43FA4" w:rsidSect="00B25946">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42D06"/>
    <w:multiLevelType w:val="hybridMultilevel"/>
    <w:tmpl w:val="E578DAF8"/>
    <w:lvl w:ilvl="0" w:tplc="D6F04D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2"/>
    <w:rsid w:val="00035D69"/>
    <w:rsid w:val="000472C2"/>
    <w:rsid w:val="00063D89"/>
    <w:rsid w:val="00122D68"/>
    <w:rsid w:val="001253EF"/>
    <w:rsid w:val="00137DA4"/>
    <w:rsid w:val="001B13BD"/>
    <w:rsid w:val="001C2ACB"/>
    <w:rsid w:val="002255B1"/>
    <w:rsid w:val="00225A96"/>
    <w:rsid w:val="0028597F"/>
    <w:rsid w:val="00332102"/>
    <w:rsid w:val="003D5110"/>
    <w:rsid w:val="00565A37"/>
    <w:rsid w:val="00606C45"/>
    <w:rsid w:val="006B48BC"/>
    <w:rsid w:val="00734978"/>
    <w:rsid w:val="008604D4"/>
    <w:rsid w:val="008A19CE"/>
    <w:rsid w:val="0090711D"/>
    <w:rsid w:val="009403B9"/>
    <w:rsid w:val="009A00A3"/>
    <w:rsid w:val="009B6C60"/>
    <w:rsid w:val="00A92633"/>
    <w:rsid w:val="00AB20F1"/>
    <w:rsid w:val="00B10D6E"/>
    <w:rsid w:val="00B25946"/>
    <w:rsid w:val="00B81E74"/>
    <w:rsid w:val="00C31060"/>
    <w:rsid w:val="00C83720"/>
    <w:rsid w:val="00CB39B4"/>
    <w:rsid w:val="00CE759C"/>
    <w:rsid w:val="00D31AA3"/>
    <w:rsid w:val="00D40CB6"/>
    <w:rsid w:val="00DE3992"/>
    <w:rsid w:val="00E43FA4"/>
    <w:rsid w:val="00F26E41"/>
    <w:rsid w:val="00F83DE3"/>
    <w:rsid w:val="00F908BA"/>
    <w:rsid w:val="00FF3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597F"/>
    <w:rPr>
      <w:color w:val="0000FF" w:themeColor="hyperlink"/>
      <w:u w:val="single"/>
    </w:rPr>
  </w:style>
  <w:style w:type="paragraph" w:styleId="Paragraphedeliste">
    <w:name w:val="List Paragraph"/>
    <w:basedOn w:val="Normal"/>
    <w:uiPriority w:val="34"/>
    <w:qFormat/>
    <w:rsid w:val="00B10D6E"/>
    <w:pPr>
      <w:ind w:left="720"/>
      <w:contextualSpacing/>
    </w:pPr>
  </w:style>
  <w:style w:type="paragraph" w:styleId="Textedebulles">
    <w:name w:val="Balloon Text"/>
    <w:basedOn w:val="Normal"/>
    <w:link w:val="TextedebullesCar"/>
    <w:uiPriority w:val="99"/>
    <w:semiHidden/>
    <w:unhideWhenUsed/>
    <w:rsid w:val="00B259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597F"/>
    <w:rPr>
      <w:color w:val="0000FF" w:themeColor="hyperlink"/>
      <w:u w:val="single"/>
    </w:rPr>
  </w:style>
  <w:style w:type="paragraph" w:styleId="Paragraphedeliste">
    <w:name w:val="List Paragraph"/>
    <w:basedOn w:val="Normal"/>
    <w:uiPriority w:val="34"/>
    <w:qFormat/>
    <w:rsid w:val="00B10D6E"/>
    <w:pPr>
      <w:ind w:left="720"/>
      <w:contextualSpacing/>
    </w:pPr>
  </w:style>
  <w:style w:type="paragraph" w:styleId="Textedebulles">
    <w:name w:val="Balloon Text"/>
    <w:basedOn w:val="Normal"/>
    <w:link w:val="TextedebullesCar"/>
    <w:uiPriority w:val="99"/>
    <w:semiHidden/>
    <w:unhideWhenUsed/>
    <w:rsid w:val="00B259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720">
      <w:bodyDiv w:val="1"/>
      <w:marLeft w:val="0"/>
      <w:marRight w:val="0"/>
      <w:marTop w:val="0"/>
      <w:marBottom w:val="0"/>
      <w:divBdr>
        <w:top w:val="none" w:sz="0" w:space="0" w:color="auto"/>
        <w:left w:val="none" w:sz="0" w:space="0" w:color="auto"/>
        <w:bottom w:val="none" w:sz="0" w:space="0" w:color="auto"/>
        <w:right w:val="none" w:sz="0" w:space="0" w:color="auto"/>
      </w:divBdr>
      <w:divsChild>
        <w:div w:id="1277328729">
          <w:marLeft w:val="0"/>
          <w:marRight w:val="0"/>
          <w:marTop w:val="0"/>
          <w:marBottom w:val="0"/>
          <w:divBdr>
            <w:top w:val="none" w:sz="0" w:space="0" w:color="auto"/>
            <w:left w:val="none" w:sz="0" w:space="0" w:color="auto"/>
            <w:bottom w:val="none" w:sz="0" w:space="0" w:color="auto"/>
            <w:right w:val="none" w:sz="0" w:space="0" w:color="auto"/>
          </w:divBdr>
        </w:div>
        <w:div w:id="1987317184">
          <w:marLeft w:val="0"/>
          <w:marRight w:val="0"/>
          <w:marTop w:val="0"/>
          <w:marBottom w:val="0"/>
          <w:divBdr>
            <w:top w:val="none" w:sz="0" w:space="0" w:color="auto"/>
            <w:left w:val="none" w:sz="0" w:space="0" w:color="auto"/>
            <w:bottom w:val="none" w:sz="0" w:space="0" w:color="auto"/>
            <w:right w:val="none" w:sz="0" w:space="0" w:color="auto"/>
          </w:divBdr>
        </w:div>
      </w:divsChild>
    </w:div>
    <w:div w:id="1665010455">
      <w:bodyDiv w:val="1"/>
      <w:marLeft w:val="0"/>
      <w:marRight w:val="0"/>
      <w:marTop w:val="0"/>
      <w:marBottom w:val="0"/>
      <w:divBdr>
        <w:top w:val="none" w:sz="0" w:space="0" w:color="auto"/>
        <w:left w:val="none" w:sz="0" w:space="0" w:color="auto"/>
        <w:bottom w:val="none" w:sz="0" w:space="0" w:color="auto"/>
        <w:right w:val="none" w:sz="0" w:space="0" w:color="auto"/>
      </w:divBdr>
      <w:divsChild>
        <w:div w:id="19458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nauharcelement.education.gouv.fr/que-faire/mon-enfant-est-victi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B802-368C-495E-8C12-E461E105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Stephanie-Barba Miraut-Boudjennah</dc:creator>
  <cp:lastModifiedBy>Denis Da-Silva-Barbosa</cp:lastModifiedBy>
  <cp:revision>10</cp:revision>
  <dcterms:created xsi:type="dcterms:W3CDTF">2018-11-22T14:50:00Z</dcterms:created>
  <dcterms:modified xsi:type="dcterms:W3CDTF">2019-01-31T11:27:00Z</dcterms:modified>
</cp:coreProperties>
</file>