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273D34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7A2115" w:rsidRPr="00466FE7" w:rsidRDefault="00E62D19" w:rsidP="00466FE7">
      <w:pPr>
        <w:rPr>
          <w:rFonts w:ascii="Lato" w:hAnsi="Lato"/>
        </w:rPr>
      </w:pPr>
      <w:r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8B9D36" wp14:editId="301AFFA1">
            <wp:simplePos x="895350" y="2819400"/>
            <wp:positionH relativeFrom="margin">
              <wp:align>right</wp:align>
            </wp:positionH>
            <wp:positionV relativeFrom="margin">
              <wp:align>top</wp:align>
            </wp:positionV>
            <wp:extent cx="4762500" cy="4762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FE7" w:rsidRPr="00E62D19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E62D19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Default="00102DD7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FAIRE FACE AU HARCELEMENT </w:t>
      </w:r>
    </w:p>
    <w:p w:rsidR="0038724F" w:rsidRPr="00102DD7" w:rsidRDefault="008734A4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M6.10 CONSTRUIRE UN PROJET DE PREVENTION</w:t>
      </w:r>
    </w:p>
    <w:p w:rsidR="007A2115" w:rsidRDefault="007A211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E06A5" w:rsidRDefault="001E06A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E06A5" w:rsidRDefault="001E06A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E06A5" w:rsidRPr="00E62D19" w:rsidRDefault="001E06A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  <w:bookmarkStart w:id="0" w:name="_GoBack"/>
      <w:bookmarkEnd w:id="0"/>
    </w:p>
    <w:p w:rsidR="007A2115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i/>
          <w:sz w:val="28"/>
          <w:szCs w:val="28"/>
          <w:lang w:eastAsia="fr-FR"/>
        </w:rPr>
        <w:t>CONTEXTE :</w:t>
      </w:r>
    </w:p>
    <w:p w:rsidR="00102DD7" w:rsidRPr="00E62D19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Gestionnaire </w:t>
      </w:r>
      <w:r w:rsidR="008734A4">
        <w:rPr>
          <w:rFonts w:ascii="Lato" w:eastAsia="Times New Roman" w:hAnsi="Lato"/>
          <w:b/>
          <w:iCs/>
          <w:sz w:val="20"/>
          <w:szCs w:val="20"/>
        </w:rPr>
        <w:t>DAFOR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Public concerné : 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>Nombre :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Lieu de formation : 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Date : </w:t>
      </w:r>
    </w:p>
    <w:p w:rsidR="00102DD7" w:rsidRPr="00102DD7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331D3E">
        <w:rPr>
          <w:rFonts w:ascii="Lato" w:eastAsia="Times New Roman" w:hAnsi="Lato"/>
          <w:b/>
          <w:iCs/>
          <w:sz w:val="20"/>
          <w:szCs w:val="20"/>
        </w:rPr>
        <w:t xml:space="preserve">Format : </w:t>
      </w:r>
    </w:p>
    <w:p w:rsidR="0038724F" w:rsidRPr="00102DD7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102DD7" w:rsidRPr="00102DD7">
        <w:rPr>
          <w:rFonts w:ascii="Lato" w:eastAsia="Times New Roman" w:hAnsi="Lato"/>
          <w:b/>
          <w:iCs/>
          <w:sz w:val="20"/>
          <w:szCs w:val="20"/>
        </w:rPr>
        <w:t>Formateurs :</w:t>
      </w:r>
    </w:p>
    <w:p w:rsidR="0038724F" w:rsidRPr="00E62D19" w:rsidRDefault="0038724F" w:rsidP="0038724F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4B3892" w:rsidRPr="004B3892" w:rsidRDefault="0038724F" w:rsidP="004B3892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Objectifs généraux </w:t>
      </w:r>
      <w:r w:rsid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annoncés </w:t>
      </w:r>
      <w:r w:rsidRP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: </w:t>
      </w:r>
    </w:p>
    <w:p w:rsidR="00D3285D" w:rsidRDefault="00D3285D" w:rsidP="008734A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Comprendre les enjeux d’un plan de prévention</w:t>
      </w:r>
    </w:p>
    <w:p w:rsidR="00D3285D" w:rsidRDefault="00D3285D" w:rsidP="008734A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S’emparer d’outils et de ressources nécessaires à l’élaboration d’un plan de prévention</w:t>
      </w:r>
    </w:p>
    <w:p w:rsidR="004B3892" w:rsidRPr="004B3892" w:rsidRDefault="00D3285D" w:rsidP="008734A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Connaître les étapes d’un plan de prévention</w:t>
      </w:r>
    </w:p>
    <w:p w:rsidR="00102DD7" w:rsidRDefault="00102DD7" w:rsidP="00102DD7">
      <w:pPr>
        <w:rPr>
          <w:rFonts w:ascii="Lato" w:hAnsi="Lato"/>
          <w:sz w:val="24"/>
          <w:szCs w:val="24"/>
        </w:rPr>
      </w:pPr>
    </w:p>
    <w:p w:rsidR="005044D5" w:rsidRDefault="005044D5" w:rsidP="00102DD7">
      <w:pPr>
        <w:rPr>
          <w:rFonts w:ascii="Lato" w:hAnsi="Lato"/>
          <w:sz w:val="24"/>
          <w:szCs w:val="24"/>
        </w:rPr>
      </w:pPr>
    </w:p>
    <w:p w:rsidR="00466FE7" w:rsidRDefault="00466FE7" w:rsidP="00102DD7">
      <w:pPr>
        <w:rPr>
          <w:rFonts w:ascii="Lato" w:hAnsi="Lato"/>
          <w:sz w:val="24"/>
          <w:szCs w:val="24"/>
        </w:rPr>
      </w:pPr>
    </w:p>
    <w:p w:rsidR="001E06A5" w:rsidRDefault="001E06A5" w:rsidP="00102DD7">
      <w:pPr>
        <w:rPr>
          <w:rFonts w:ascii="Lato" w:hAnsi="Lato"/>
          <w:sz w:val="24"/>
          <w:szCs w:val="24"/>
        </w:rPr>
      </w:pPr>
    </w:p>
    <w:p w:rsidR="001E06A5" w:rsidRDefault="001E06A5" w:rsidP="00102DD7">
      <w:pPr>
        <w:rPr>
          <w:rFonts w:ascii="Lato" w:hAnsi="Lato"/>
          <w:sz w:val="24"/>
          <w:szCs w:val="24"/>
        </w:rPr>
      </w:pPr>
    </w:p>
    <w:p w:rsidR="001E06A5" w:rsidRDefault="001E06A5" w:rsidP="00102DD7">
      <w:pPr>
        <w:rPr>
          <w:rFonts w:ascii="Lato" w:hAnsi="Lato"/>
          <w:sz w:val="24"/>
          <w:szCs w:val="24"/>
        </w:rPr>
      </w:pPr>
    </w:p>
    <w:p w:rsidR="001E06A5" w:rsidRPr="00102DD7" w:rsidRDefault="001E06A5" w:rsidP="00102DD7">
      <w:pPr>
        <w:rPr>
          <w:rFonts w:ascii="Lato" w:hAnsi="La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38724F" w:rsidRPr="00EC0B75" w:rsidTr="0014463D">
        <w:tc>
          <w:tcPr>
            <w:tcW w:w="4786" w:type="dxa"/>
            <w:shd w:val="clear" w:color="auto" w:fill="C6D9F1" w:themeFill="text2" w:themeFillTint="33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EC0B75">
              <w:rPr>
                <w:rFonts w:ascii="Lato" w:eastAsia="Times New Roman" w:hAnsi="Lato" w:cs="Calibri"/>
                <w:b/>
                <w:iCs/>
                <w:sz w:val="18"/>
                <w:szCs w:val="18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Compétences du formateur activées </w:t>
            </w:r>
            <w:proofErr w:type="gramStart"/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>( extrait</w:t>
            </w:r>
            <w:proofErr w:type="gramEnd"/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 du référentiel du formateur BO n° 30 du 23 juillet 2015)</w:t>
            </w:r>
          </w:p>
        </w:tc>
      </w:tr>
      <w:tr w:rsidR="0038724F" w:rsidRPr="00EC0B75" w:rsidTr="00EC2BE2">
        <w:trPr>
          <w:trHeight w:val="8556"/>
        </w:trPr>
        <w:tc>
          <w:tcPr>
            <w:tcW w:w="4786" w:type="dxa"/>
          </w:tcPr>
          <w:p w:rsidR="00C80ADC" w:rsidRPr="00EC0B75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38724F" w:rsidRPr="00EC0B75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Faire partager les valeurs de la République</w:t>
            </w:r>
          </w:p>
          <w:p w:rsidR="0038724F" w:rsidRPr="00EC0B75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Inscrire son action dans le cadre des principes fondamentaux du système éducatif et dans le cadre réglementaire de l'école</w:t>
            </w:r>
            <w:r w:rsidR="00C80ADC" w:rsidRPr="00EC0B75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</w:p>
          <w:p w:rsidR="00C80ADC" w:rsidRPr="00EC0B75" w:rsidRDefault="00C80ADC" w:rsidP="0038724F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Agir en éducateur responsable et selon des principes éthiques</w:t>
            </w:r>
          </w:p>
          <w:p w:rsidR="00C80ADC" w:rsidRPr="00EC0B75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au sein d'une équipe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Contribuer à l'action de la communauté éducative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avec les parents d'élèves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avec les partenaires de l'école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S'engager dans une démarche individuelle et collective de développement professionnel</w:t>
            </w:r>
          </w:p>
          <w:p w:rsidR="0038724F" w:rsidRPr="00EC0B75" w:rsidRDefault="0038724F" w:rsidP="0038724F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1" w:name="Competences_communes_a_tous_les_professe"/>
            <w:bookmarkEnd w:id="1"/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Évaluer les progrès et les acquisitions des élèves</w:t>
            </w:r>
          </w:p>
        </w:tc>
        <w:tc>
          <w:tcPr>
            <w:tcW w:w="5245" w:type="dxa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Penser - Concevoir - Élaborer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EC0B75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EC0B75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38724F" w:rsidRPr="004B3892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Analyser la commande institutionnelle ainsi que les besoins et les attentes des apprenants</w:t>
            </w:r>
          </w:p>
          <w:p w:rsidR="0038724F" w:rsidRPr="004B3892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Elaborer un programme de formation</w:t>
            </w:r>
          </w:p>
          <w:p w:rsidR="0038724F" w:rsidRPr="004B3892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 xml:space="preserve">Concevoir </w:t>
            </w:r>
            <w:r w:rsidRPr="004B3892">
              <w:rPr>
                <w:rFonts w:ascii="Lato" w:eastAsia="Times New Roman" w:hAnsi="Lato" w:cs="Arial"/>
                <w:sz w:val="18"/>
                <w:szCs w:val="18"/>
              </w:rPr>
              <w:t>le scenario et les ressources spécifiques pour une formation hybride ou à distance.</w:t>
            </w:r>
          </w:p>
          <w:p w:rsidR="0038724F" w:rsidRPr="004B3892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 xml:space="preserve">Anticiper </w:t>
            </w:r>
            <w:r w:rsidRPr="004B3892">
              <w:rPr>
                <w:rFonts w:ascii="Lato" w:eastAsia="Times New Roman" w:hAnsi="Lato" w:cs="Arial"/>
                <w:sz w:val="18"/>
                <w:szCs w:val="18"/>
              </w:rPr>
              <w:t>les moyens logistiques etc…</w:t>
            </w:r>
          </w:p>
          <w:p w:rsidR="0038724F" w:rsidRPr="004B3892" w:rsidRDefault="0038724F" w:rsidP="00C80ADC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38724F" w:rsidRPr="004B3892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 xml:space="preserve">Introduire et conclure </w:t>
            </w:r>
            <w:r w:rsidRPr="004B3892">
              <w:rPr>
                <w:rFonts w:ascii="Lato" w:eastAsia="Times New Roman" w:hAnsi="Lato" w:cs="Arial"/>
                <w:sz w:val="18"/>
                <w:szCs w:val="18"/>
              </w:rPr>
              <w:t>une séquence de formation.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 xml:space="preserve">Installer un environnement bienveillant et sécurisant 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Mettre en œuvre des modalités pédagogiques et des techniques d’animation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Accompagner les apprenants dans leur apprentissage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Gérer les phénomènes de groupe et d’individualité́</w:t>
            </w:r>
            <w:r w:rsidRPr="004B3892">
              <w:rPr>
                <w:rFonts w:ascii="Lato" w:eastAsia="Times New Roman" w:hAnsi="Lato" w:cs="Arial"/>
                <w:sz w:val="18"/>
                <w:szCs w:val="18"/>
              </w:rPr>
              <w:t>.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4B3892">
              <w:rPr>
                <w:rFonts w:ascii="Lato" w:eastAsia="Times New Roman" w:hAnsi="Lato" w:cs="Arial"/>
                <w:sz w:val="18"/>
                <w:szCs w:val="18"/>
              </w:rPr>
              <w:t xml:space="preserve">de l’animation et de l’accompagnement </w:t>
            </w:r>
            <w:proofErr w:type="spellStart"/>
            <w:r w:rsidRPr="004B3892">
              <w:rPr>
                <w:rFonts w:ascii="Lato" w:eastAsia="Times New Roman" w:hAnsi="Lato" w:cs="Arial"/>
                <w:sz w:val="18"/>
                <w:szCs w:val="18"/>
              </w:rPr>
              <w:t>a</w:t>
            </w:r>
            <w:proofErr w:type="spellEnd"/>
            <w:r w:rsidRPr="004B3892">
              <w:rPr>
                <w:rFonts w:ascii="Lato" w:eastAsia="Times New Roman" w:hAnsi="Lato" w:cs="Arial"/>
                <w:sz w:val="18"/>
                <w:szCs w:val="18"/>
              </w:rPr>
              <w:t>̀ distance.</w:t>
            </w:r>
          </w:p>
          <w:p w:rsidR="0038724F" w:rsidRPr="004B3892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C80ADC" w:rsidRPr="004B3892" w:rsidRDefault="00C80ADC" w:rsidP="00C80ADC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38724F" w:rsidRPr="004B3892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38724F" w:rsidRPr="004B3892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Accompagner les individus et les équipes</w:t>
            </w:r>
          </w:p>
          <w:p w:rsidR="0038724F" w:rsidRPr="004B3892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Donner aux individus et aux équipes des outils pour agir</w:t>
            </w:r>
          </w:p>
          <w:p w:rsidR="0038724F" w:rsidRPr="004B3892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Aider chacun à s’engager</w:t>
            </w:r>
          </w:p>
          <w:p w:rsidR="00C80ADC" w:rsidRPr="004B3892" w:rsidRDefault="00C80ADC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</w:p>
          <w:p w:rsidR="0038724F" w:rsidRPr="004B3892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4B3892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38724F" w:rsidRPr="004B3892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38724F" w:rsidRPr="00EC0B75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Contribuer </w:t>
            </w:r>
            <w:proofErr w:type="spellStart"/>
            <w:r w:rsidRPr="00EC0B75">
              <w:rPr>
                <w:rFonts w:ascii="Lato" w:eastAsia="Times New Roman" w:hAnsi="Lato"/>
                <w:sz w:val="18"/>
                <w:szCs w:val="18"/>
              </w:rPr>
              <w:t>a</w:t>
            </w:r>
            <w:proofErr w:type="spellEnd"/>
            <w:r w:rsidRPr="00EC0B75">
              <w:rPr>
                <w:rFonts w:ascii="Lato" w:eastAsia="Times New Roman" w:hAnsi="Lato"/>
                <w:sz w:val="18"/>
                <w:szCs w:val="18"/>
              </w:rPr>
              <w:t>̀ l’évaluation d’un dispositif de formation</w:t>
            </w:r>
          </w:p>
          <w:p w:rsidR="0038724F" w:rsidRPr="00EC0B75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S’efforcer de mesurer le transfert de la formation sur l’enseignement et l’action éducative</w:t>
            </w:r>
          </w:p>
          <w:p w:rsidR="0038724F" w:rsidRPr="00EC0B75" w:rsidRDefault="0038724F" w:rsidP="00EC2BE2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Savoir accepter les remarques</w:t>
            </w:r>
          </w:p>
        </w:tc>
      </w:tr>
      <w:tr w:rsidR="0038724F" w:rsidRPr="00EC0B75" w:rsidTr="00C80ADC">
        <w:trPr>
          <w:trHeight w:val="523"/>
        </w:trPr>
        <w:tc>
          <w:tcPr>
            <w:tcW w:w="10031" w:type="dxa"/>
            <w:gridSpan w:val="2"/>
            <w:shd w:val="clear" w:color="auto" w:fill="B8CCE4" w:themeFill="accent1" w:themeFillTint="66"/>
          </w:tcPr>
          <w:p w:rsidR="0038724F" w:rsidRPr="00EC0B75" w:rsidRDefault="0038724F" w:rsidP="0038724F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t>Compétences du chef d’établissement à l’issue de la formation (référentiel des personnels de direction, BO n°1 du 3 janvier 2002)</w:t>
            </w:r>
          </w:p>
        </w:tc>
      </w:tr>
      <w:tr w:rsidR="0038724F" w:rsidRPr="00EC0B75" w:rsidTr="002C2BBC">
        <w:trPr>
          <w:trHeight w:val="1267"/>
        </w:trPr>
        <w:tc>
          <w:tcPr>
            <w:tcW w:w="10031" w:type="dxa"/>
            <w:gridSpan w:val="2"/>
          </w:tcPr>
          <w:p w:rsidR="0038724F" w:rsidRPr="00EC0B75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EC0B75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EC0B75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38724F" w:rsidRPr="004B3892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Savoir construire dans la concertation la politique pédagogique et éducative de l’établissement</w:t>
            </w:r>
          </w:p>
          <w:p w:rsidR="0038724F" w:rsidRPr="00EC0B75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4B3892">
              <w:rPr>
                <w:rFonts w:ascii="Lato" w:eastAsia="Times New Roman" w:hAnsi="Lato"/>
                <w:sz w:val="18"/>
                <w:szCs w:val="18"/>
              </w:rPr>
              <w:t>Savoir impulser, animer et conduire cette politique pédagogique et éducative</w:t>
            </w:r>
          </w:p>
        </w:tc>
      </w:tr>
    </w:tbl>
    <w:p w:rsidR="00102DD7" w:rsidRDefault="00102DD7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  <w:r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>DEROULE</w:t>
      </w:r>
      <w:r w:rsidR="00B818A8"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 xml:space="preserve"> </w:t>
      </w:r>
    </w:p>
    <w:p w:rsidR="00102DD7" w:rsidRPr="00E62D19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102DD7" w:rsidRPr="00E62D19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5256" w:type="pct"/>
        <w:tblLayout w:type="fixed"/>
        <w:tblLook w:val="0000" w:firstRow="0" w:lastRow="0" w:firstColumn="0" w:lastColumn="0" w:noHBand="0" w:noVBand="0"/>
      </w:tblPr>
      <w:tblGrid>
        <w:gridCol w:w="1525"/>
        <w:gridCol w:w="3342"/>
        <w:gridCol w:w="10739"/>
        <w:gridCol w:w="3070"/>
        <w:gridCol w:w="3605"/>
      </w:tblGrid>
      <w:tr w:rsidR="002C2BBC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Contenus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Modalités de travail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Matériel</w:t>
            </w:r>
            <w:r w:rsidR="00B818A8"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, support</w:t>
            </w: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E62D19" w:rsidRDefault="008A428D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5</w:t>
            </w:r>
            <w:r w:rsidR="000450C4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’</w:t>
            </w:r>
          </w:p>
          <w:p w:rsidR="00B818A8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B818A8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S1 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>ACCUEIL</w:t>
            </w:r>
            <w:r w:rsidR="003859EE" w:rsidRPr="00E62D19">
              <w:rPr>
                <w:rFonts w:ascii="Lato" w:hAnsi="Lato" w:cs="Calibri"/>
                <w:b/>
                <w:bCs/>
                <w:color w:val="333333"/>
              </w:rPr>
              <w:t>LIR, PRESENTER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4B3892" w:rsidRDefault="00B42083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highlight w:val="yellow"/>
                <w:shd w:val="clear" w:color="auto" w:fill="FFFFFF"/>
                <w:lang w:eastAsia="fr-FR"/>
              </w:rPr>
            </w:pPr>
          </w:p>
          <w:p w:rsidR="001376FF" w:rsidRPr="00771362" w:rsidRDefault="00771362" w:rsidP="0077136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- </w:t>
            </w:r>
            <w:r w:rsidR="006E28AC" w:rsidRPr="0077136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Présent</w:t>
            </w:r>
            <w:r w:rsidR="009F2A9D" w:rsidRPr="0077136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er les objectifs de ce module</w:t>
            </w:r>
          </w:p>
          <w:p w:rsidR="001376FF" w:rsidRPr="004B3892" w:rsidRDefault="001376FF" w:rsidP="00724558">
            <w:pPr>
              <w:pStyle w:val="Paragraphedeliste"/>
              <w:spacing w:after="0" w:line="240" w:lineRule="auto"/>
              <w:ind w:left="360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4B3892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  <w:p w:rsidR="001376FF" w:rsidRPr="004B3892" w:rsidRDefault="00F67FB2" w:rsidP="00F67FB2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  <w:t>Grand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324" w:rsidRDefault="00F67FB2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highlight w:val="yellow"/>
                <w:lang w:eastAsia="fr-FR"/>
              </w:rPr>
              <w:t>Vidéoprojecteur</w:t>
            </w:r>
          </w:p>
          <w:p w:rsidR="00F67FB2" w:rsidRPr="004B3892" w:rsidRDefault="00F67FB2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highlight w:val="yellow"/>
                <w:lang w:eastAsia="fr-FR"/>
              </w:rPr>
              <w:t>Powerpoint</w:t>
            </w: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E62D19" w:rsidRDefault="008A428D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S2 </w:t>
            </w:r>
          </w:p>
          <w:p w:rsidR="001376FF" w:rsidRPr="00E62D19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>CONTEXTUALISER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4B3892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  <w:p w:rsidR="00724558" w:rsidRPr="00771362" w:rsidRDefault="00771362" w:rsidP="0077136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- </w:t>
            </w:r>
            <w:r w:rsidR="00724558" w:rsidRPr="0077136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Retour rapide sur le module précédent (faire le lien avec le protocole qui est partie intégrante du plan)</w:t>
            </w:r>
          </w:p>
          <w:p w:rsidR="00B42083" w:rsidRPr="004B3892" w:rsidRDefault="00B42083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4B3892" w:rsidRDefault="00B42083" w:rsidP="004B3892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083" w:rsidRPr="004B3892" w:rsidRDefault="00B42083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  <w:r w:rsidRPr="004B3892"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8A428D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  <w:r w:rsidR="004B389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S3 </w:t>
            </w:r>
          </w:p>
          <w:p w:rsidR="006E28AC" w:rsidRDefault="006E28A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COMPRENDRE</w:t>
            </w:r>
            <w:r w:rsidR="00BB66AA">
              <w:rPr>
                <w:rFonts w:ascii="Lato" w:hAnsi="Lato" w:cs="Calibri"/>
                <w:b/>
                <w:bCs/>
                <w:color w:val="333333"/>
              </w:rPr>
              <w:t xml:space="preserve"> LES ENJEUX</w:t>
            </w:r>
          </w:p>
          <w:p w:rsidR="001376FF" w:rsidRPr="00E62D19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CONSTRUIRE UNE </w:t>
            </w:r>
            <w:r w:rsidR="001376FF" w:rsidRPr="00E62D19">
              <w:rPr>
                <w:rFonts w:ascii="Lato" w:hAnsi="Lato" w:cs="Calibri"/>
                <w:b/>
                <w:bCs/>
                <w:color w:val="333333"/>
              </w:rPr>
              <w:t xml:space="preserve">CULTURE COMMUNE,  </w:t>
            </w: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DES </w:t>
            </w:r>
            <w:r w:rsidR="001376FF" w:rsidRPr="00E62D19">
              <w:rPr>
                <w:rFonts w:ascii="Lato" w:hAnsi="Lato" w:cs="Calibri"/>
                <w:b/>
                <w:bCs/>
                <w:color w:val="333333"/>
              </w:rPr>
              <w:t>ELEME</w:t>
            </w:r>
            <w:r w:rsidRPr="00E62D19">
              <w:rPr>
                <w:rFonts w:ascii="Lato" w:hAnsi="Lato" w:cs="Calibri"/>
                <w:b/>
                <w:bCs/>
                <w:color w:val="333333"/>
              </w:rPr>
              <w:t>NTS DE LANGAGE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C62BF2" w:rsidRDefault="00807325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</w:t>
            </w:r>
            <w:r w:rsidR="00A01298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. </w:t>
            </w:r>
            <w:r w:rsidR="00BB66AA" w:rsidRPr="00C62BF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Quels sont les enjeux</w:t>
            </w:r>
            <w:r w:rsidR="00A01298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d’un plan de prévention</w:t>
            </w:r>
            <w:r w:rsidR="00BB66AA" w:rsidRPr="00C62BF2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 ? </w:t>
            </w:r>
          </w:p>
          <w:p w:rsidR="00BB66AA" w:rsidRPr="004B3892" w:rsidRDefault="00BB66AA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4B3892" w:rsidRDefault="00BB66AA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  <w:t>Grand groupe</w:t>
            </w:r>
          </w:p>
          <w:p w:rsidR="005C3755" w:rsidRPr="004B3892" w:rsidRDefault="005C3755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  <w:p w:rsidR="005C3755" w:rsidRPr="004B3892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  <w:p w:rsidR="005C3755" w:rsidRPr="004B3892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  <w:p w:rsidR="005C3755" w:rsidRPr="004B3892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4B1" w:rsidRDefault="00BB66AA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  <w:t>Vidéoprojecteur</w:t>
            </w:r>
          </w:p>
          <w:p w:rsidR="00BB66AA" w:rsidRPr="004B3892" w:rsidRDefault="00BB66AA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  <w:t>Powerpoint</w:t>
            </w:r>
          </w:p>
          <w:p w:rsidR="001376FF" w:rsidRPr="004B3892" w:rsidRDefault="001376FF" w:rsidP="004B3892">
            <w:pPr>
              <w:pStyle w:val="Paragraphedeliste"/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4B389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</w:t>
            </w:r>
            <w:r w:rsidR="00DC486D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45’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S4 </w:t>
            </w:r>
          </w:p>
          <w:p w:rsidR="001376FF" w:rsidRPr="00E62D19" w:rsidRDefault="00CA32DB" w:rsidP="001E353E">
            <w:pPr>
              <w:rPr>
                <w:rFonts w:ascii="Lato" w:hAnsi="Lato" w:cs="Calibri"/>
                <w:b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 xml:space="preserve">SUR QUELS OUTILS ET RESSOURCES S’APPUYER ? 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</w:rPr>
            </w:pPr>
          </w:p>
          <w:p w:rsidR="001376FF" w:rsidRPr="00E62D19" w:rsidRDefault="001376FF" w:rsidP="00B818A8">
            <w:pPr>
              <w:rPr>
                <w:rFonts w:ascii="Lato" w:hAnsi="Lato" w:cs="Calibri"/>
                <w:b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80732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2</w:t>
            </w:r>
            <w:r w:rsidR="0077141F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. Quels sont les outils et ressources nécessaires ? (animation </w:t>
            </w:r>
            <w:proofErr w:type="spellStart"/>
            <w:r w:rsidR="0077141F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powerpoint</w:t>
            </w:r>
            <w:proofErr w:type="spellEnd"/>
            <w:r w:rsidR="0077141F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 : faire apparaître les 4 axes les uns après les autres : animation)</w:t>
            </w:r>
          </w:p>
          <w:p w:rsidR="001376FF" w:rsidRPr="00E62D19" w:rsidRDefault="001376FF" w:rsidP="002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C62BF2" w:rsidP="006B5B68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2F76B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3 groupes</w:t>
            </w:r>
          </w:p>
          <w:p w:rsidR="005C3755" w:rsidRPr="00E62D19" w:rsidRDefault="005C3755" w:rsidP="001A54B1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76FF" w:rsidRDefault="003D1DA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3 feuilles </w:t>
            </w:r>
            <w:proofErr w:type="spellStart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word</w:t>
            </w:r>
            <w:proofErr w:type="spellEnd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pour les stagiaires</w:t>
            </w:r>
          </w:p>
          <w:p w:rsidR="003D1DA5" w:rsidRPr="00E62D19" w:rsidRDefault="003D1DA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Grilles d’invariants pour les formateurs</w:t>
            </w:r>
          </w:p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C376EC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S5 </w:t>
            </w:r>
          </w:p>
          <w:p w:rsidR="00C376EC" w:rsidRDefault="00C376EC" w:rsidP="00C376E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lang w:eastAsia="fr-FR"/>
              </w:rPr>
              <w:t>ECHANGER</w:t>
            </w:r>
          </w:p>
          <w:p w:rsidR="006E28AC" w:rsidRPr="00E62D19" w:rsidRDefault="00C376EC" w:rsidP="00C376EC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SYNTHETISER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C376E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Restitution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630A92" w:rsidP="00EC0B7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Grand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5C45" w:rsidRPr="00FC5C45" w:rsidRDefault="00FC5C45" w:rsidP="0058208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8208F" w:rsidRPr="00FC5C45" w:rsidRDefault="0072735C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Powerpoint</w:t>
            </w:r>
          </w:p>
        </w:tc>
      </w:tr>
      <w:tr w:rsidR="006E28AC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E62D19" w:rsidRDefault="00C376EC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Default="006E28A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S6</w:t>
            </w:r>
          </w:p>
          <w:p w:rsidR="006E28AC" w:rsidRPr="00E62D19" w:rsidRDefault="00C376E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RESSOURCE SUPPLE</w:t>
            </w:r>
            <w:r w:rsidR="00535828">
              <w:rPr>
                <w:rFonts w:ascii="Lato" w:hAnsi="Lato" w:cs="Calibri"/>
                <w:b/>
                <w:bCs/>
                <w:color w:val="333333"/>
              </w:rPr>
              <w:t>ME</w:t>
            </w:r>
            <w:r>
              <w:rPr>
                <w:rFonts w:ascii="Lato" w:hAnsi="Lato" w:cs="Calibri"/>
                <w:b/>
                <w:bCs/>
                <w:color w:val="333333"/>
              </w:rPr>
              <w:t>NTAIRE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Default="00E53407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3. </w:t>
            </w:r>
            <w:r w:rsidR="0072220F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Les sites ressources</w:t>
            </w:r>
          </w:p>
          <w:p w:rsidR="0072220F" w:rsidRDefault="00C376E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- </w:t>
            </w:r>
            <w:r w:rsidR="0072220F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Site académique</w:t>
            </w:r>
          </w:p>
          <w:p w:rsidR="00C376EC" w:rsidRDefault="0072220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- </w:t>
            </w:r>
            <w:r w:rsidR="00C376EC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Site nationale NAH</w:t>
            </w:r>
          </w:p>
          <w:p w:rsidR="00291A72" w:rsidRPr="00E62D19" w:rsidRDefault="00291A7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E62D19" w:rsidRDefault="00630A92" w:rsidP="00EC0B7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Grand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E28AC" w:rsidRPr="00FC5C45" w:rsidRDefault="0072735C" w:rsidP="0058208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Powerpoint</w:t>
            </w: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AF10B1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10’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S7</w:t>
            </w:r>
          </w:p>
          <w:p w:rsidR="00535828" w:rsidRDefault="0053582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E28AC" w:rsidRPr="00E62D19" w:rsidRDefault="00535828" w:rsidP="00535828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LES ETAPES POUR CONSTUIRE UN PLAN DE PREVENTION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44D5" w:rsidRPr="00E62D19" w:rsidRDefault="00630A9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lastRenderedPageBreak/>
              <w:t xml:space="preserve">- Commentaires des étapes sur le </w:t>
            </w:r>
            <w:proofErr w:type="spellStart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ppt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E62D19" w:rsidRDefault="00630A92" w:rsidP="00630A92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Grand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76FF" w:rsidRPr="00E62D19" w:rsidRDefault="0072735C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Powerpoint</w:t>
            </w:r>
          </w:p>
        </w:tc>
      </w:tr>
      <w:tr w:rsidR="00535828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28" w:rsidRDefault="0053582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lastRenderedPageBreak/>
              <w:t>10’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28" w:rsidRDefault="0053582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S8</w:t>
            </w:r>
          </w:p>
          <w:p w:rsidR="00535828" w:rsidRDefault="0053582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535828" w:rsidRDefault="00535828" w:rsidP="00535828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EVALUATION ET CONCLUSION</w:t>
            </w:r>
          </w:p>
          <w:p w:rsidR="00535828" w:rsidRPr="00535828" w:rsidRDefault="0053582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28" w:rsidRPr="00E62D19" w:rsidRDefault="00693826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- Synthèse des évaluations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28" w:rsidRPr="00E62D19" w:rsidRDefault="00630A92" w:rsidP="00630A92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Grand groupe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5828" w:rsidRPr="00E62D19" w:rsidRDefault="0072735C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Powerpoint</w:t>
            </w:r>
          </w:p>
        </w:tc>
      </w:tr>
      <w:tr w:rsidR="00B818A8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18A8" w:rsidRPr="00E62D19" w:rsidRDefault="00B818A8" w:rsidP="00AF10B1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Default="00AF10B1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J + 1</w:t>
            </w:r>
          </w:p>
          <w:p w:rsidR="00EC0B75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E28AC" w:rsidRPr="00E62D19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CLOTURER</w:t>
            </w:r>
            <w:r w:rsidR="00AF10B1">
              <w:rPr>
                <w:rFonts w:ascii="Lato" w:eastAsia="Times New Roman" w:hAnsi="Lato" w:cs="Arial"/>
                <w:b/>
                <w:lang w:eastAsia="fr-FR"/>
              </w:rPr>
              <w:t xml:space="preserve"> (</w:t>
            </w:r>
            <w:proofErr w:type="spellStart"/>
            <w:r w:rsidR="00AF10B1">
              <w:rPr>
                <w:rFonts w:ascii="Lato" w:eastAsia="Times New Roman" w:hAnsi="Lato" w:cs="Arial"/>
                <w:b/>
                <w:lang w:eastAsia="fr-FR"/>
              </w:rPr>
              <w:t>post-formatin</w:t>
            </w:r>
            <w:proofErr w:type="spellEnd"/>
            <w:r w:rsidR="00AF10B1">
              <w:rPr>
                <w:rFonts w:ascii="Lato" w:eastAsia="Times New Roman" w:hAnsi="Lato" w:cs="Arial"/>
                <w:b/>
                <w:lang w:eastAsia="fr-FR"/>
              </w:rPr>
              <w:t>)</w:t>
            </w:r>
          </w:p>
          <w:p w:rsidR="00AF6FAD" w:rsidRPr="00E62D19" w:rsidRDefault="00AF6FAD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B818A8" w:rsidRPr="00E62D19" w:rsidRDefault="00B818A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Default="00EC0B75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AF10B1" w:rsidRPr="00E62D19" w:rsidRDefault="00693826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SUIVI lors des 3 modules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E62D19" w:rsidRDefault="0072735C" w:rsidP="0072735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Formateurs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18A8" w:rsidRPr="00E62D19" w:rsidRDefault="00B818A8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</w:tbl>
    <w:p w:rsidR="002C2BBC" w:rsidRPr="00E62D19" w:rsidRDefault="002C2BBC">
      <w:pPr>
        <w:rPr>
          <w:rFonts w:ascii="Lato" w:hAnsi="Lato"/>
        </w:rPr>
      </w:pPr>
    </w:p>
    <w:sectPr w:rsidR="002C2BBC" w:rsidRPr="00E62D19" w:rsidSect="00EC0B75">
      <w:footerReference w:type="default" r:id="rId1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9" w:rsidRDefault="002B3C49" w:rsidP="00C80ADC">
      <w:pPr>
        <w:spacing w:after="0" w:line="240" w:lineRule="auto"/>
      </w:pPr>
      <w:r>
        <w:separator/>
      </w:r>
    </w:p>
  </w:endnote>
  <w:end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837"/>
      <w:gridCol w:w="6359"/>
    </w:tblGrid>
    <w:tr w:rsidR="00102DD7" w:rsidTr="001A54B1">
      <w:trPr>
        <w:trHeight w:val="360"/>
      </w:trPr>
      <w:tc>
        <w:tcPr>
          <w:tcW w:w="3500" w:type="pct"/>
        </w:tcPr>
        <w:p w:rsidR="00102DD7" w:rsidRDefault="00102DD7">
          <w:pPr>
            <w:pStyle w:val="Pieddepage"/>
            <w:jc w:val="right"/>
          </w:pPr>
        </w:p>
      </w:tc>
      <w:tc>
        <w:tcPr>
          <w:tcW w:w="1500" w:type="pct"/>
          <w:shd w:val="clear" w:color="auto" w:fill="FDB714"/>
        </w:tcPr>
        <w:p w:rsidR="00102DD7" w:rsidRDefault="00102DD7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1E06A5" w:rsidRPr="001E06A5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02DD7" w:rsidRPr="001A54B1" w:rsidRDefault="00EC0B75">
    <w:pPr>
      <w:pStyle w:val="Pieddepage"/>
      <w:rPr>
        <w:color w:val="199088"/>
      </w:rPr>
    </w:pP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noProof/>
        <w:color w:val="199088"/>
        <w:lang w:eastAsia="fr-FR"/>
      </w:rPr>
      <w:drawing>
        <wp:inline distT="0" distB="0" distL="0" distR="0" wp14:anchorId="4C2E1723" wp14:editId="1F3A7D12">
          <wp:extent cx="706810" cy="967563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04" cy="96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9" w:rsidRDefault="002B3C49" w:rsidP="00C80ADC">
      <w:pPr>
        <w:spacing w:after="0" w:line="240" w:lineRule="auto"/>
      </w:pPr>
      <w:r>
        <w:separator/>
      </w:r>
    </w:p>
  </w:footnote>
  <w:foot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pt;height:409.4pt" o:bullet="t">
        <v:imagedata r:id="rId1" o:title="116395"/>
      </v:shape>
    </w:pict>
  </w:numPicBullet>
  <w:abstractNum w:abstractNumId="0">
    <w:nsid w:val="12601AC4"/>
    <w:multiLevelType w:val="hybridMultilevel"/>
    <w:tmpl w:val="1BA84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7AD"/>
    <w:multiLevelType w:val="hybridMultilevel"/>
    <w:tmpl w:val="2AA8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12F"/>
    <w:multiLevelType w:val="multilevel"/>
    <w:tmpl w:val="74B6D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B642C"/>
    <w:multiLevelType w:val="hybridMultilevel"/>
    <w:tmpl w:val="55086422"/>
    <w:lvl w:ilvl="0" w:tplc="43C682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1742"/>
    <w:multiLevelType w:val="hybridMultilevel"/>
    <w:tmpl w:val="D26AE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706F7"/>
    <w:multiLevelType w:val="hybridMultilevel"/>
    <w:tmpl w:val="E402A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020B4"/>
    <w:rsid w:val="000450C4"/>
    <w:rsid w:val="00097F82"/>
    <w:rsid w:val="000B7324"/>
    <w:rsid w:val="00102DD7"/>
    <w:rsid w:val="001376FF"/>
    <w:rsid w:val="001A54B1"/>
    <w:rsid w:val="001E06A5"/>
    <w:rsid w:val="00273D34"/>
    <w:rsid w:val="00291A72"/>
    <w:rsid w:val="002B3C49"/>
    <w:rsid w:val="002C2BBC"/>
    <w:rsid w:val="002F76BE"/>
    <w:rsid w:val="00331D3E"/>
    <w:rsid w:val="003859EE"/>
    <w:rsid w:val="0038724F"/>
    <w:rsid w:val="003D1DA5"/>
    <w:rsid w:val="00461D85"/>
    <w:rsid w:val="00466FE7"/>
    <w:rsid w:val="004B3892"/>
    <w:rsid w:val="005044D5"/>
    <w:rsid w:val="00517B69"/>
    <w:rsid w:val="00535828"/>
    <w:rsid w:val="0058208F"/>
    <w:rsid w:val="005C3755"/>
    <w:rsid w:val="00630A92"/>
    <w:rsid w:val="00693826"/>
    <w:rsid w:val="006B5B68"/>
    <w:rsid w:val="006E28AC"/>
    <w:rsid w:val="006F200D"/>
    <w:rsid w:val="0072220F"/>
    <w:rsid w:val="00724558"/>
    <w:rsid w:val="0072735C"/>
    <w:rsid w:val="00771362"/>
    <w:rsid w:val="0077141F"/>
    <w:rsid w:val="007A2115"/>
    <w:rsid w:val="007E5B66"/>
    <w:rsid w:val="00807325"/>
    <w:rsid w:val="008734A4"/>
    <w:rsid w:val="008A428D"/>
    <w:rsid w:val="00916F7F"/>
    <w:rsid w:val="009F2A9D"/>
    <w:rsid w:val="00A01298"/>
    <w:rsid w:val="00A045D7"/>
    <w:rsid w:val="00AF10B1"/>
    <w:rsid w:val="00AF6FAD"/>
    <w:rsid w:val="00B42083"/>
    <w:rsid w:val="00B818A8"/>
    <w:rsid w:val="00BB66AA"/>
    <w:rsid w:val="00C376EC"/>
    <w:rsid w:val="00C62BF2"/>
    <w:rsid w:val="00C80ADC"/>
    <w:rsid w:val="00CA32DB"/>
    <w:rsid w:val="00D3285D"/>
    <w:rsid w:val="00DC486D"/>
    <w:rsid w:val="00E37935"/>
    <w:rsid w:val="00E53407"/>
    <w:rsid w:val="00E62D19"/>
    <w:rsid w:val="00E83CCF"/>
    <w:rsid w:val="00EC0B75"/>
    <w:rsid w:val="00EC2BE2"/>
    <w:rsid w:val="00F67FB2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SSIER_TRAVAIL\POLE%20FORMATION%202018%202019\OUTILS%20PRATIQUES\Matrice%20p&#244;le%20formation\Pr&#233;pa%20de%20formation\matrice%20formation2018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4F4-641A-4E90-B8F5-5A6E8C5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formation2018.docx.dotx</Template>
  <TotalTime>153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45</cp:revision>
  <cp:lastPrinted>2017-09-15T14:27:00Z</cp:lastPrinted>
  <dcterms:created xsi:type="dcterms:W3CDTF">2018-09-18T15:24:00Z</dcterms:created>
  <dcterms:modified xsi:type="dcterms:W3CDTF">2019-02-13T13:33:00Z</dcterms:modified>
</cp:coreProperties>
</file>