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4DC" w:rsidRPr="00A50CF7" w:rsidRDefault="00526A85" w:rsidP="004164DC">
      <w:pPr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fr-FR"/>
        </w:rPr>
      </w:pPr>
      <w:r w:rsidRPr="00A50CF7">
        <w:rPr>
          <w:rFonts w:ascii="Lato" w:eastAsia="Times New Roman" w:hAnsi="Lato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0A87E8EF" wp14:editId="1AFFCAA7">
            <wp:extent cx="737937" cy="713874"/>
            <wp:effectExtent l="0" t="0" r="5080" b="0"/>
            <wp:docPr id="1" name="Image 1" descr="C:\Users\kjegout\Desktop\edu-kanboard.ac-versailles.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jegout\Desktop\edu-kanboard.ac-versailles.f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921" cy="713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DB5" w:rsidRPr="00A50CF7" w:rsidRDefault="004164DC" w:rsidP="004164DC">
      <w:pPr>
        <w:spacing w:after="0" w:line="240" w:lineRule="auto"/>
        <w:jc w:val="center"/>
        <w:rPr>
          <w:rFonts w:ascii="Lato" w:eastAsia="Times New Roman" w:hAnsi="Lato" w:cs="Times New Roman"/>
          <w:color w:val="4F6228" w:themeColor="accent3" w:themeShade="80"/>
          <w:sz w:val="28"/>
          <w:szCs w:val="28"/>
          <w:lang w:eastAsia="fr-FR"/>
        </w:rPr>
      </w:pPr>
      <w:r w:rsidRPr="00A50CF7">
        <w:rPr>
          <w:rFonts w:ascii="Lato" w:eastAsia="Times New Roman" w:hAnsi="Lato" w:cs="Times New Roman"/>
          <w:color w:val="4F6228" w:themeColor="accent3" w:themeShade="80"/>
          <w:sz w:val="28"/>
          <w:szCs w:val="28"/>
          <w:lang w:eastAsia="fr-FR"/>
        </w:rPr>
        <w:t xml:space="preserve">Notice de la BOX </w:t>
      </w:r>
      <w:r w:rsidR="00A50CF7">
        <w:rPr>
          <w:rFonts w:ascii="Lato" w:eastAsia="Times New Roman" w:hAnsi="Lato" w:cs="Times New Roman"/>
          <w:color w:val="4F6228" w:themeColor="accent3" w:themeShade="80"/>
          <w:sz w:val="28"/>
          <w:szCs w:val="28"/>
          <w:lang w:eastAsia="fr-FR"/>
        </w:rPr>
        <w:t>M7.12</w:t>
      </w:r>
      <w:r w:rsidR="00637DB5" w:rsidRPr="00A50CF7">
        <w:rPr>
          <w:rFonts w:ascii="Lato" w:eastAsia="Times New Roman" w:hAnsi="Lato" w:cs="Times New Roman"/>
          <w:color w:val="4F6228" w:themeColor="accent3" w:themeShade="80"/>
          <w:sz w:val="28"/>
          <w:szCs w:val="28"/>
          <w:lang w:eastAsia="fr-FR"/>
        </w:rPr>
        <w:t xml:space="preserve"> RETEX </w:t>
      </w:r>
    </w:p>
    <w:p w:rsidR="004164DC" w:rsidRPr="00A50CF7" w:rsidRDefault="00A50CF7" w:rsidP="004164DC">
      <w:pPr>
        <w:spacing w:after="0" w:line="240" w:lineRule="auto"/>
        <w:jc w:val="center"/>
        <w:rPr>
          <w:rFonts w:ascii="Lato" w:eastAsia="Times New Roman" w:hAnsi="Lato" w:cs="Times New Roman"/>
          <w:color w:val="4F6228" w:themeColor="accent3" w:themeShade="80"/>
          <w:sz w:val="28"/>
          <w:szCs w:val="28"/>
          <w:lang w:eastAsia="fr-FR"/>
        </w:rPr>
      </w:pPr>
      <w:r w:rsidRPr="00A50CF7">
        <w:rPr>
          <w:rFonts w:ascii="Lato" w:eastAsia="Times New Roman" w:hAnsi="Lato" w:cs="Times New Roman"/>
          <w:color w:val="4F6228" w:themeColor="accent3" w:themeShade="80"/>
          <w:sz w:val="28"/>
          <w:szCs w:val="28"/>
          <w:lang w:eastAsia="fr-FR"/>
        </w:rPr>
        <w:t>Pour</w:t>
      </w:r>
      <w:r w:rsidR="00637DB5" w:rsidRPr="00A50CF7">
        <w:rPr>
          <w:rFonts w:ascii="Lato" w:eastAsia="Times New Roman" w:hAnsi="Lato" w:cs="Times New Roman"/>
          <w:color w:val="4F6228" w:themeColor="accent3" w:themeShade="80"/>
          <w:sz w:val="28"/>
          <w:szCs w:val="28"/>
          <w:lang w:eastAsia="fr-FR"/>
        </w:rPr>
        <w:t xml:space="preserve"> le pôle ressource de territoire</w:t>
      </w:r>
    </w:p>
    <w:p w:rsidR="004164DC" w:rsidRPr="00A50CF7" w:rsidRDefault="004164DC" w:rsidP="004164DC">
      <w:pPr>
        <w:spacing w:after="240" w:line="240" w:lineRule="auto"/>
        <w:rPr>
          <w:rFonts w:ascii="Lato" w:eastAsia="Times New Roman" w:hAnsi="Lato" w:cs="Times New Roman"/>
          <w:sz w:val="24"/>
          <w:szCs w:val="24"/>
          <w:lang w:eastAsia="fr-FR"/>
        </w:rPr>
      </w:pPr>
    </w:p>
    <w:p w:rsidR="004164DC" w:rsidRPr="00094B84" w:rsidRDefault="004164DC" w:rsidP="004164DC">
      <w:pPr>
        <w:spacing w:before="100" w:beforeAutospacing="1" w:after="100" w:afterAutospacing="1" w:line="240" w:lineRule="auto"/>
        <w:outlineLvl w:val="2"/>
        <w:rPr>
          <w:rFonts w:ascii="Lato" w:eastAsia="Times New Roman" w:hAnsi="Lato" w:cs="Times New Roman"/>
          <w:b/>
          <w:bCs/>
          <w:color w:val="FFC000"/>
          <w:lang w:eastAsia="fr-FR"/>
        </w:rPr>
      </w:pPr>
      <w:r w:rsidRPr="00094B84">
        <w:rPr>
          <w:rFonts w:ascii="Lato" w:eastAsia="Times New Roman" w:hAnsi="Lato" w:cs="Times New Roman"/>
          <w:b/>
          <w:bCs/>
          <w:i/>
          <w:iCs/>
          <w:color w:val="FFC000"/>
          <w:lang w:eastAsia="fr-FR"/>
        </w:rPr>
        <w:t>Ce que contient la BOX</w:t>
      </w:r>
    </w:p>
    <w:p w:rsidR="004164DC" w:rsidRPr="00C23B17" w:rsidRDefault="004164DC" w:rsidP="004164DC">
      <w:pPr>
        <w:spacing w:after="0" w:line="240" w:lineRule="auto"/>
        <w:rPr>
          <w:rFonts w:ascii="Lato" w:eastAsia="Times New Roman" w:hAnsi="Lato" w:cs="Times New Roman"/>
          <w:szCs w:val="24"/>
          <w:lang w:eastAsia="fr-FR"/>
        </w:rPr>
      </w:pPr>
      <w:r w:rsidRPr="00C23B17">
        <w:rPr>
          <w:rFonts w:ascii="Lato" w:eastAsia="Times New Roman" w:hAnsi="Lato" w:cs="Times New Roman"/>
          <w:szCs w:val="24"/>
          <w:lang w:eastAsia="fr-FR"/>
        </w:rPr>
        <w:t xml:space="preserve">Dans la </w:t>
      </w:r>
      <w:r w:rsidR="009A392A">
        <w:rPr>
          <w:rFonts w:ascii="Lato" w:eastAsia="Times New Roman" w:hAnsi="Lato" w:cs="Times New Roman"/>
          <w:szCs w:val="24"/>
          <w:lang w:eastAsia="fr-FR"/>
        </w:rPr>
        <w:t xml:space="preserve"> </w:t>
      </w:r>
      <w:r w:rsidRPr="00C23B17">
        <w:rPr>
          <w:rFonts w:ascii="Lato" w:eastAsia="Times New Roman" w:hAnsi="Lato" w:cs="Times New Roman"/>
          <w:szCs w:val="24"/>
          <w:lang w:eastAsia="fr-FR"/>
        </w:rPr>
        <w:t>box, vous devriez trouver</w:t>
      </w:r>
      <w:r w:rsidR="00D430F3" w:rsidRPr="00C23B17">
        <w:rPr>
          <w:rFonts w:ascii="Lato" w:eastAsia="Times New Roman" w:hAnsi="Lato" w:cs="Times New Roman"/>
          <w:szCs w:val="24"/>
          <w:lang w:eastAsia="fr-FR"/>
        </w:rPr>
        <w:t> :</w:t>
      </w:r>
    </w:p>
    <w:p w:rsidR="00D430F3" w:rsidRPr="00C23B17" w:rsidRDefault="00D430F3" w:rsidP="004164DC">
      <w:pPr>
        <w:spacing w:after="0" w:line="240" w:lineRule="auto"/>
        <w:rPr>
          <w:rFonts w:ascii="Lato" w:eastAsia="Times New Roman" w:hAnsi="Lato" w:cs="Times New Roman"/>
          <w:szCs w:val="24"/>
          <w:lang w:eastAsia="fr-FR"/>
        </w:rPr>
      </w:pPr>
    </w:p>
    <w:p w:rsidR="004164DC" w:rsidRPr="00C23B17" w:rsidRDefault="00A82593" w:rsidP="004164DC">
      <w:pPr>
        <w:pStyle w:val="Paragraphedeliste"/>
        <w:numPr>
          <w:ilvl w:val="0"/>
          <w:numId w:val="8"/>
        </w:numPr>
        <w:spacing w:after="0" w:line="240" w:lineRule="auto"/>
        <w:rPr>
          <w:rFonts w:ascii="Lato" w:eastAsia="Times New Roman" w:hAnsi="Lato" w:cs="Times New Roman"/>
          <w:szCs w:val="24"/>
          <w:lang w:eastAsia="fr-FR"/>
        </w:rPr>
      </w:pPr>
      <w:r w:rsidRPr="00C23B17">
        <w:rPr>
          <w:rFonts w:ascii="Lato" w:eastAsia="Times New Roman" w:hAnsi="Lato" w:cs="Times New Roman"/>
          <w:szCs w:val="24"/>
          <w:lang w:eastAsia="fr-FR"/>
        </w:rPr>
        <w:t xml:space="preserve">Une fiche d’émargement </w:t>
      </w:r>
      <w:r w:rsidR="00D430F3" w:rsidRPr="00C23B17">
        <w:rPr>
          <w:rFonts w:ascii="Lato" w:eastAsia="Times New Roman" w:hAnsi="Lato" w:cs="Times New Roman"/>
          <w:szCs w:val="24"/>
          <w:lang w:eastAsia="fr-FR"/>
        </w:rPr>
        <w:t>(à utiliser si pas de liste de la DAFOR)</w:t>
      </w:r>
    </w:p>
    <w:p w:rsidR="004164DC" w:rsidRPr="00C23B17" w:rsidRDefault="00A82593" w:rsidP="004164DC">
      <w:pPr>
        <w:pStyle w:val="Paragraphedeliste"/>
        <w:numPr>
          <w:ilvl w:val="0"/>
          <w:numId w:val="8"/>
        </w:numPr>
        <w:spacing w:after="0" w:line="240" w:lineRule="auto"/>
        <w:rPr>
          <w:rFonts w:ascii="Lato" w:eastAsia="Times New Roman" w:hAnsi="Lato" w:cs="Times New Roman"/>
          <w:szCs w:val="24"/>
          <w:lang w:eastAsia="fr-FR"/>
        </w:rPr>
      </w:pPr>
      <w:r w:rsidRPr="00C23B17">
        <w:rPr>
          <w:rFonts w:ascii="Lato" w:eastAsia="Times New Roman" w:hAnsi="Lato" w:cs="Times New Roman"/>
          <w:szCs w:val="24"/>
          <w:lang w:eastAsia="fr-FR"/>
        </w:rPr>
        <w:t>Le déroulé du module</w:t>
      </w:r>
    </w:p>
    <w:p w:rsidR="004164DC" w:rsidRPr="00C23B17" w:rsidRDefault="00600CB5" w:rsidP="004164DC">
      <w:pPr>
        <w:pStyle w:val="Paragraphedeliste"/>
        <w:numPr>
          <w:ilvl w:val="0"/>
          <w:numId w:val="8"/>
        </w:numPr>
        <w:spacing w:after="0" w:line="240" w:lineRule="auto"/>
        <w:rPr>
          <w:rFonts w:ascii="Lato" w:eastAsia="Times New Roman" w:hAnsi="Lato" w:cs="Times New Roman"/>
          <w:szCs w:val="24"/>
          <w:lang w:eastAsia="fr-FR"/>
        </w:rPr>
      </w:pPr>
      <w:r>
        <w:rPr>
          <w:rFonts w:ascii="Lato" w:eastAsia="Times New Roman" w:hAnsi="Lato" w:cs="Times New Roman"/>
          <w:szCs w:val="24"/>
          <w:lang w:eastAsia="fr-FR"/>
        </w:rPr>
        <w:t>Des supports pour vos séquences</w:t>
      </w:r>
    </w:p>
    <w:p w:rsidR="004164DC" w:rsidRPr="00C23B17" w:rsidRDefault="00D430F3" w:rsidP="004164DC">
      <w:pPr>
        <w:pStyle w:val="Paragraphedeliste"/>
        <w:numPr>
          <w:ilvl w:val="0"/>
          <w:numId w:val="8"/>
        </w:numPr>
        <w:spacing w:after="0" w:line="240" w:lineRule="auto"/>
        <w:rPr>
          <w:rFonts w:ascii="Lato" w:eastAsia="Times New Roman" w:hAnsi="Lato" w:cs="Times New Roman"/>
          <w:szCs w:val="24"/>
          <w:lang w:eastAsia="fr-FR"/>
        </w:rPr>
      </w:pPr>
      <w:r w:rsidRPr="00C23B17">
        <w:rPr>
          <w:rFonts w:ascii="Lato" w:eastAsia="Times New Roman" w:hAnsi="Lato" w:cs="Times New Roman"/>
          <w:szCs w:val="24"/>
          <w:lang w:eastAsia="fr-FR"/>
        </w:rPr>
        <w:t xml:space="preserve">Un support d’évaluation </w:t>
      </w:r>
    </w:p>
    <w:p w:rsidR="00A82593" w:rsidRPr="00C23B17" w:rsidRDefault="00A82593" w:rsidP="004164DC">
      <w:pPr>
        <w:pStyle w:val="Paragraphedeliste"/>
        <w:numPr>
          <w:ilvl w:val="0"/>
          <w:numId w:val="8"/>
        </w:numPr>
        <w:spacing w:after="0" w:line="240" w:lineRule="auto"/>
        <w:rPr>
          <w:rFonts w:ascii="Lato" w:eastAsia="Times New Roman" w:hAnsi="Lato" w:cs="Times New Roman"/>
          <w:szCs w:val="24"/>
          <w:lang w:eastAsia="fr-FR"/>
        </w:rPr>
      </w:pPr>
      <w:r w:rsidRPr="00C23B17">
        <w:rPr>
          <w:rFonts w:ascii="Lato" w:eastAsia="Times New Roman" w:hAnsi="Lato" w:cs="Times New Roman"/>
          <w:szCs w:val="24"/>
          <w:lang w:eastAsia="fr-FR"/>
        </w:rPr>
        <w:t>Une fiche sur l’activité des 6 chapeaux</w:t>
      </w:r>
    </w:p>
    <w:p w:rsidR="00A82593" w:rsidRPr="00C23B17" w:rsidRDefault="00A82593" w:rsidP="004164DC">
      <w:pPr>
        <w:pStyle w:val="Paragraphedeliste"/>
        <w:numPr>
          <w:ilvl w:val="0"/>
          <w:numId w:val="8"/>
        </w:numPr>
        <w:spacing w:after="0" w:line="240" w:lineRule="auto"/>
        <w:rPr>
          <w:rFonts w:ascii="Lato" w:eastAsia="Times New Roman" w:hAnsi="Lato" w:cs="Times New Roman"/>
          <w:szCs w:val="24"/>
          <w:lang w:eastAsia="fr-FR"/>
        </w:rPr>
      </w:pPr>
      <w:r w:rsidRPr="00C23B17">
        <w:rPr>
          <w:rFonts w:ascii="Lato" w:eastAsia="Times New Roman" w:hAnsi="Lato" w:cs="Times New Roman"/>
          <w:szCs w:val="24"/>
          <w:lang w:eastAsia="fr-FR"/>
        </w:rPr>
        <w:t xml:space="preserve">Une fiche </w:t>
      </w:r>
      <w:r w:rsidR="00D91948" w:rsidRPr="00C23B17">
        <w:rPr>
          <w:rFonts w:ascii="Lato" w:eastAsia="Times New Roman" w:hAnsi="Lato" w:cs="Times New Roman"/>
          <w:szCs w:val="24"/>
          <w:lang w:eastAsia="fr-FR"/>
        </w:rPr>
        <w:t>sur l’activité des photos et langage</w:t>
      </w:r>
    </w:p>
    <w:p w:rsidR="00D91948" w:rsidRPr="00A50CF7" w:rsidRDefault="00D91948" w:rsidP="00D91948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fr-FR"/>
        </w:rPr>
      </w:pPr>
    </w:p>
    <w:p w:rsidR="004164DC" w:rsidRPr="00A50CF7" w:rsidRDefault="004164DC" w:rsidP="004164DC">
      <w:pPr>
        <w:spacing w:before="100" w:beforeAutospacing="1" w:after="100" w:afterAutospacing="1" w:line="240" w:lineRule="auto"/>
        <w:outlineLvl w:val="2"/>
        <w:rPr>
          <w:rFonts w:ascii="Lato" w:eastAsia="Times New Roman" w:hAnsi="Lato" w:cs="Times New Roman"/>
          <w:b/>
          <w:bCs/>
          <w:color w:val="FFC000"/>
          <w:sz w:val="27"/>
          <w:szCs w:val="27"/>
          <w:lang w:eastAsia="fr-FR"/>
        </w:rPr>
      </w:pPr>
      <w:r w:rsidRPr="00A50CF7">
        <w:rPr>
          <w:rFonts w:ascii="Lato" w:eastAsia="Times New Roman" w:hAnsi="Lato" w:cs="Times New Roman"/>
          <w:b/>
          <w:bCs/>
          <w:i/>
          <w:iCs/>
          <w:color w:val="FFC000"/>
          <w:sz w:val="27"/>
          <w:szCs w:val="27"/>
          <w:lang w:eastAsia="fr-FR"/>
        </w:rPr>
        <w:t xml:space="preserve">Utilisation de la BOX </w:t>
      </w:r>
    </w:p>
    <w:p w:rsidR="00600CB5" w:rsidRDefault="00B02DD0" w:rsidP="004164DC">
      <w:pPr>
        <w:pStyle w:val="Paragraphedeliste"/>
        <w:numPr>
          <w:ilvl w:val="0"/>
          <w:numId w:val="10"/>
        </w:numPr>
        <w:spacing w:after="0" w:line="240" w:lineRule="auto"/>
        <w:rPr>
          <w:rFonts w:ascii="Lato" w:eastAsia="Times New Roman" w:hAnsi="Lato" w:cs="Times New Roman"/>
          <w:lang w:eastAsia="fr-FR"/>
        </w:rPr>
      </w:pPr>
      <w:r w:rsidRPr="00C23B17">
        <w:rPr>
          <w:rFonts w:ascii="Lato" w:eastAsia="Times New Roman" w:hAnsi="Lato" w:cs="Times New Roman"/>
          <w:lang w:eastAsia="fr-FR"/>
        </w:rPr>
        <w:t>Prévoir deux heures pour prendre connaissance des contenus et des supports</w:t>
      </w:r>
    </w:p>
    <w:p w:rsidR="00600CB5" w:rsidRDefault="00600CB5" w:rsidP="004164DC">
      <w:pPr>
        <w:pStyle w:val="Paragraphedeliste"/>
        <w:numPr>
          <w:ilvl w:val="0"/>
          <w:numId w:val="10"/>
        </w:numPr>
        <w:spacing w:after="0" w:line="240" w:lineRule="auto"/>
        <w:rPr>
          <w:rFonts w:ascii="Lato" w:eastAsia="Times New Roman" w:hAnsi="Lato" w:cs="Times New Roman"/>
          <w:lang w:eastAsia="fr-FR"/>
        </w:rPr>
      </w:pPr>
      <w:r>
        <w:rPr>
          <w:rFonts w:ascii="Lato" w:eastAsia="Times New Roman" w:hAnsi="Lato" w:cs="Times New Roman"/>
          <w:lang w:eastAsia="fr-FR"/>
        </w:rPr>
        <w:t>Ce module peut être construit en plusieurs temps, et de différentes façons. Il faut analyser les besoins du pôle ressources afin d’identifier la meilleure utilisation des 2 modules du parcours (module 7 et module 9).</w:t>
      </w:r>
    </w:p>
    <w:p w:rsidR="00600CB5" w:rsidRDefault="00600CB5" w:rsidP="00600CB5">
      <w:pPr>
        <w:pStyle w:val="Paragraphedeliste"/>
        <w:spacing w:after="0" w:line="240" w:lineRule="auto"/>
        <w:rPr>
          <w:rFonts w:ascii="Lato" w:eastAsia="Times New Roman" w:hAnsi="Lato" w:cs="Times New Roman"/>
          <w:lang w:eastAsia="fr-FR"/>
        </w:rPr>
      </w:pPr>
      <w:r>
        <w:rPr>
          <w:rFonts w:ascii="Lato" w:eastAsia="Times New Roman" w:hAnsi="Lato" w:cs="Times New Roman"/>
          <w:lang w:eastAsia="fr-FR"/>
        </w:rPr>
        <w:t>Vous pouvez donc, à la demande des stagiaires, soit :</w:t>
      </w:r>
    </w:p>
    <w:p w:rsidR="00600CB5" w:rsidRDefault="00600CB5" w:rsidP="00600CB5">
      <w:pPr>
        <w:pStyle w:val="Paragraphedeliste"/>
        <w:numPr>
          <w:ilvl w:val="0"/>
          <w:numId w:val="12"/>
        </w:numPr>
        <w:spacing w:after="0" w:line="240" w:lineRule="auto"/>
        <w:rPr>
          <w:rFonts w:ascii="Lato" w:eastAsia="Times New Roman" w:hAnsi="Lato" w:cs="Times New Roman"/>
          <w:lang w:eastAsia="fr-FR"/>
        </w:rPr>
      </w:pPr>
      <w:r>
        <w:rPr>
          <w:rFonts w:ascii="Lato" w:eastAsia="Times New Roman" w:hAnsi="Lato" w:cs="Times New Roman"/>
          <w:lang w:eastAsia="fr-FR"/>
        </w:rPr>
        <w:t>utiliser ces 2 modules en tant que « superviseur » ou « animateur » de RETEX, ainsi vous permettez au pôle d’améliorer son dispositif</w:t>
      </w:r>
    </w:p>
    <w:p w:rsidR="00600CB5" w:rsidRDefault="00600CB5" w:rsidP="00600CB5">
      <w:pPr>
        <w:pStyle w:val="Paragraphedeliste"/>
        <w:numPr>
          <w:ilvl w:val="0"/>
          <w:numId w:val="12"/>
        </w:numPr>
        <w:spacing w:after="0" w:line="240" w:lineRule="auto"/>
        <w:rPr>
          <w:rFonts w:ascii="Lato" w:eastAsia="Times New Roman" w:hAnsi="Lato" w:cs="Times New Roman"/>
          <w:lang w:eastAsia="fr-FR"/>
        </w:rPr>
      </w:pPr>
      <w:r>
        <w:rPr>
          <w:rFonts w:ascii="Lato" w:eastAsia="Times New Roman" w:hAnsi="Lato" w:cs="Times New Roman"/>
          <w:lang w:eastAsia="fr-FR"/>
        </w:rPr>
        <w:t>Sensibiliser à une démarche autonome, dans le territoire, afin de mettre en place une démarche, structure ou méthode pour la réalisation de RETEX in situ, animé par le groupe ressource lui-même</w:t>
      </w:r>
      <w:r w:rsidRPr="00600CB5">
        <w:rPr>
          <w:rFonts w:ascii="Lato" w:eastAsia="Times New Roman" w:hAnsi="Lato" w:cs="Times New Roman"/>
          <w:lang w:eastAsia="fr-FR"/>
        </w:rPr>
        <w:t>.</w:t>
      </w:r>
    </w:p>
    <w:p w:rsidR="00600CB5" w:rsidRDefault="00600CB5" w:rsidP="00600CB5">
      <w:pPr>
        <w:pStyle w:val="Paragraphedeliste"/>
        <w:numPr>
          <w:ilvl w:val="0"/>
          <w:numId w:val="12"/>
        </w:numPr>
        <w:spacing w:after="0" w:line="240" w:lineRule="auto"/>
        <w:rPr>
          <w:rFonts w:ascii="Lato" w:eastAsia="Times New Roman" w:hAnsi="Lato" w:cs="Times New Roman"/>
          <w:lang w:eastAsia="fr-FR"/>
        </w:rPr>
      </w:pPr>
      <w:r>
        <w:rPr>
          <w:rFonts w:ascii="Lato" w:eastAsia="Times New Roman" w:hAnsi="Lato" w:cs="Times New Roman"/>
          <w:lang w:eastAsia="fr-FR"/>
        </w:rPr>
        <w:t xml:space="preserve">Alterner une séquence RETEX (en tant qu’animateur) afin que les membres du pôle découvrent ou intègrent le sens d’un RETEX, sa démarche, sa plus-value…. Et utiliser l’autre module pour accompagner le pôle à mettre en place un système autonome de RETEX </w:t>
      </w:r>
    </w:p>
    <w:p w:rsidR="00600CB5" w:rsidRDefault="00600CB5" w:rsidP="00600CB5">
      <w:pPr>
        <w:pStyle w:val="Paragraphedeliste"/>
        <w:numPr>
          <w:ilvl w:val="0"/>
          <w:numId w:val="12"/>
        </w:numPr>
        <w:spacing w:after="0" w:line="240" w:lineRule="auto"/>
        <w:rPr>
          <w:rFonts w:ascii="Lato" w:eastAsia="Times New Roman" w:hAnsi="Lato" w:cs="Times New Roman"/>
          <w:lang w:eastAsia="fr-FR"/>
        </w:rPr>
      </w:pPr>
      <w:r>
        <w:rPr>
          <w:rFonts w:ascii="Lato" w:eastAsia="Times New Roman" w:hAnsi="Lato" w:cs="Times New Roman"/>
          <w:lang w:eastAsia="fr-FR"/>
        </w:rPr>
        <w:t xml:space="preserve">Alterner les 2 séquences comme l’exemple ci-dessus mais en démarrant d’abord par l’aspect démarche et méthodologique (rendre autonome sur la </w:t>
      </w:r>
      <w:proofErr w:type="gramStart"/>
      <w:r>
        <w:rPr>
          <w:rFonts w:ascii="Lato" w:eastAsia="Times New Roman" w:hAnsi="Lato" w:cs="Times New Roman"/>
          <w:lang w:eastAsia="fr-FR"/>
        </w:rPr>
        <w:t>technique )</w:t>
      </w:r>
      <w:proofErr w:type="gramEnd"/>
      <w:r>
        <w:rPr>
          <w:rFonts w:ascii="Lato" w:eastAsia="Times New Roman" w:hAnsi="Lato" w:cs="Times New Roman"/>
          <w:lang w:eastAsia="fr-FR"/>
        </w:rPr>
        <w:t xml:space="preserve"> et utiliser le second module RETEX (le module 9) comme activité RETEX où vous êtes l’animateur.</w:t>
      </w:r>
    </w:p>
    <w:p w:rsidR="00600CB5" w:rsidRPr="00600CB5" w:rsidRDefault="00600CB5" w:rsidP="00600CB5">
      <w:pPr>
        <w:spacing w:after="0" w:line="240" w:lineRule="auto"/>
        <w:ind w:left="720"/>
        <w:rPr>
          <w:rFonts w:ascii="Lato" w:eastAsia="Times New Roman" w:hAnsi="Lato" w:cs="Times New Roman"/>
          <w:lang w:eastAsia="fr-FR"/>
        </w:rPr>
      </w:pPr>
      <w:r>
        <w:rPr>
          <w:rFonts w:ascii="Lato" w:eastAsia="Times New Roman" w:hAnsi="Lato" w:cs="Times New Roman"/>
          <w:lang w:eastAsia="fr-FR"/>
        </w:rPr>
        <w:t xml:space="preserve">Cela dépend également de votre autonomie et de votre conception en </w:t>
      </w:r>
      <w:proofErr w:type="gramStart"/>
      <w:r>
        <w:rPr>
          <w:rFonts w:ascii="Lato" w:eastAsia="Times New Roman" w:hAnsi="Lato" w:cs="Times New Roman"/>
          <w:lang w:eastAsia="fr-FR"/>
        </w:rPr>
        <w:t>terme</w:t>
      </w:r>
      <w:proofErr w:type="gramEnd"/>
      <w:r>
        <w:rPr>
          <w:rFonts w:ascii="Lato" w:eastAsia="Times New Roman" w:hAnsi="Lato" w:cs="Times New Roman"/>
          <w:lang w:eastAsia="fr-FR"/>
        </w:rPr>
        <w:t xml:space="preserve"> de formation et d’analyse des besoins.</w:t>
      </w:r>
      <w:bookmarkStart w:id="0" w:name="_GoBack"/>
      <w:bookmarkEnd w:id="0"/>
    </w:p>
    <w:p w:rsidR="00600CB5" w:rsidRDefault="00600CB5" w:rsidP="004164DC">
      <w:pPr>
        <w:spacing w:after="0" w:line="240" w:lineRule="auto"/>
        <w:rPr>
          <w:rFonts w:ascii="Lato" w:eastAsia="Times New Roman" w:hAnsi="Lato" w:cs="Times New Roman"/>
          <w:b/>
          <w:bCs/>
          <w:i/>
          <w:iCs/>
          <w:lang w:eastAsia="fr-FR"/>
        </w:rPr>
      </w:pPr>
    </w:p>
    <w:p w:rsidR="004164DC" w:rsidRPr="00C23B17" w:rsidRDefault="00600CB5" w:rsidP="004164DC">
      <w:pPr>
        <w:spacing w:after="0" w:line="240" w:lineRule="auto"/>
        <w:rPr>
          <w:rFonts w:ascii="Lato" w:eastAsia="Times New Roman" w:hAnsi="Lato" w:cs="Times New Roman"/>
          <w:lang w:eastAsia="fr-FR"/>
        </w:rPr>
      </w:pPr>
      <w:r>
        <w:rPr>
          <w:rFonts w:ascii="Lato" w:eastAsia="Times New Roman" w:hAnsi="Lato" w:cs="Times New Roman"/>
          <w:lang w:eastAsia="fr-FR"/>
        </w:rPr>
        <w:pict>
          <v:rect id="_x0000_i1025" style="width:362.9pt;height:2.25pt" o:hrpct="800" o:hralign="center" o:hrstd="t" o:hr="t" fillcolor="#a0a0a0" stroked="f"/>
        </w:pict>
      </w:r>
    </w:p>
    <w:p w:rsidR="004164DC" w:rsidRPr="00C23B17" w:rsidRDefault="004164DC" w:rsidP="004164DC">
      <w:pPr>
        <w:spacing w:after="0" w:line="240" w:lineRule="auto"/>
        <w:rPr>
          <w:rFonts w:ascii="Lato" w:eastAsia="Times New Roman" w:hAnsi="Lato" w:cs="Times New Roman"/>
          <w:lang w:eastAsia="fr-FR"/>
        </w:rPr>
      </w:pPr>
    </w:p>
    <w:p w:rsidR="004164DC" w:rsidRPr="00C23B17" w:rsidRDefault="004164DC" w:rsidP="004164DC">
      <w:pPr>
        <w:spacing w:before="100" w:beforeAutospacing="1" w:after="100" w:afterAutospacing="1" w:line="240" w:lineRule="auto"/>
        <w:jc w:val="center"/>
        <w:outlineLvl w:val="0"/>
        <w:rPr>
          <w:rFonts w:ascii="Lato" w:eastAsia="Times New Roman" w:hAnsi="Lato" w:cs="Times New Roman"/>
          <w:b/>
          <w:bCs/>
          <w:color w:val="FFC000"/>
          <w:kern w:val="36"/>
          <w:sz w:val="28"/>
          <w:szCs w:val="48"/>
          <w:lang w:eastAsia="fr-FR"/>
        </w:rPr>
      </w:pPr>
      <w:r w:rsidRPr="00C23B17">
        <w:rPr>
          <w:rFonts w:ascii="Lato" w:eastAsia="Times New Roman" w:hAnsi="Lato" w:cs="Times New Roman"/>
          <w:b/>
          <w:bCs/>
          <w:color w:val="FFC000"/>
          <w:kern w:val="36"/>
          <w:sz w:val="28"/>
          <w:szCs w:val="48"/>
          <w:lang w:eastAsia="fr-FR"/>
        </w:rPr>
        <w:t>Supplément</w:t>
      </w:r>
    </w:p>
    <w:p w:rsidR="004164DC" w:rsidRPr="00C23B17" w:rsidRDefault="004164DC" w:rsidP="004164DC">
      <w:pPr>
        <w:spacing w:before="100" w:beforeAutospacing="1" w:after="100" w:afterAutospacing="1" w:line="240" w:lineRule="auto"/>
        <w:jc w:val="center"/>
        <w:outlineLvl w:val="2"/>
        <w:rPr>
          <w:rFonts w:ascii="Lato" w:eastAsia="Times New Roman" w:hAnsi="Lato" w:cs="Times New Roman"/>
          <w:b/>
          <w:bCs/>
          <w:i/>
          <w:iCs/>
          <w:lang w:eastAsia="fr-FR"/>
        </w:rPr>
      </w:pPr>
      <w:r w:rsidRPr="00C23B17">
        <w:rPr>
          <w:rFonts w:ascii="Lato" w:eastAsia="Times New Roman" w:hAnsi="Lato" w:cs="Times New Roman"/>
          <w:b/>
          <w:bCs/>
          <w:i/>
          <w:iCs/>
          <w:lang w:eastAsia="fr-FR"/>
        </w:rPr>
        <w:t xml:space="preserve">Eléments  logistiques à prévoir </w:t>
      </w:r>
    </w:p>
    <w:p w:rsidR="007B09A9" w:rsidRPr="00C23B17" w:rsidRDefault="007B09A9" w:rsidP="007B09A9">
      <w:pPr>
        <w:pStyle w:val="Paragraphedeliste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2"/>
        <w:rPr>
          <w:rFonts w:ascii="Lato" w:eastAsia="Times New Roman" w:hAnsi="Lato" w:cs="Times New Roman"/>
          <w:b/>
          <w:bCs/>
          <w:i/>
          <w:iCs/>
          <w:lang w:eastAsia="fr-FR"/>
        </w:rPr>
      </w:pPr>
      <w:r w:rsidRPr="00C23B17">
        <w:rPr>
          <w:rFonts w:ascii="Lato" w:eastAsia="Times New Roman" w:hAnsi="Lato" w:cs="Times New Roman"/>
          <w:b/>
          <w:bCs/>
          <w:i/>
          <w:iCs/>
          <w:lang w:eastAsia="fr-FR"/>
        </w:rPr>
        <w:t>Vidéoprojecteur, enceintes et micro.</w:t>
      </w:r>
    </w:p>
    <w:p w:rsidR="007B09A9" w:rsidRPr="00C23B17" w:rsidRDefault="007B09A9" w:rsidP="009A392A">
      <w:pPr>
        <w:pStyle w:val="Paragraphedeliste"/>
        <w:spacing w:before="100" w:beforeAutospacing="1" w:after="100" w:afterAutospacing="1" w:line="240" w:lineRule="auto"/>
        <w:jc w:val="both"/>
        <w:outlineLvl w:val="2"/>
        <w:rPr>
          <w:rFonts w:ascii="Lato" w:eastAsia="Times New Roman" w:hAnsi="Lato" w:cs="Times New Roman"/>
          <w:b/>
          <w:bCs/>
          <w:i/>
          <w:iCs/>
          <w:lang w:eastAsia="fr-FR"/>
        </w:rPr>
      </w:pPr>
    </w:p>
    <w:p w:rsidR="004164DC" w:rsidRPr="00A50CF7" w:rsidRDefault="004164DC" w:rsidP="004164DC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fr-FR"/>
        </w:rPr>
      </w:pPr>
    </w:p>
    <w:p w:rsidR="00E702EA" w:rsidRPr="00A50CF7" w:rsidRDefault="00600CB5">
      <w:pPr>
        <w:rPr>
          <w:rFonts w:ascii="Lato" w:hAnsi="Lato"/>
        </w:rPr>
      </w:pPr>
    </w:p>
    <w:sectPr w:rsidR="00E702EA" w:rsidRPr="00A50CF7" w:rsidSect="004164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Calibr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0A85"/>
    <w:multiLevelType w:val="hybridMultilevel"/>
    <w:tmpl w:val="D486925E"/>
    <w:lvl w:ilvl="0" w:tplc="43C682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758CD"/>
    <w:multiLevelType w:val="hybridMultilevel"/>
    <w:tmpl w:val="77B839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4413A"/>
    <w:multiLevelType w:val="hybridMultilevel"/>
    <w:tmpl w:val="093CA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6796A"/>
    <w:multiLevelType w:val="hybridMultilevel"/>
    <w:tmpl w:val="CFF6A3EA"/>
    <w:lvl w:ilvl="0" w:tplc="0824B6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C577A"/>
    <w:multiLevelType w:val="hybridMultilevel"/>
    <w:tmpl w:val="B300A30E"/>
    <w:lvl w:ilvl="0" w:tplc="59743BC8">
      <w:numFmt w:val="bullet"/>
      <w:lvlText w:val="-"/>
      <w:lvlJc w:val="left"/>
      <w:pPr>
        <w:ind w:left="1080" w:hanging="360"/>
      </w:pPr>
      <w:rPr>
        <w:rFonts w:ascii="Lato" w:eastAsia="Times New Roman" w:hAnsi="Lat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A40DCA"/>
    <w:multiLevelType w:val="multilevel"/>
    <w:tmpl w:val="580A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623445"/>
    <w:multiLevelType w:val="multilevel"/>
    <w:tmpl w:val="D3E69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5042A8"/>
    <w:multiLevelType w:val="multilevel"/>
    <w:tmpl w:val="C9764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777ADD"/>
    <w:multiLevelType w:val="multilevel"/>
    <w:tmpl w:val="7B6E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8F2F21"/>
    <w:multiLevelType w:val="hybridMultilevel"/>
    <w:tmpl w:val="55728834"/>
    <w:lvl w:ilvl="0" w:tplc="072A34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87704"/>
    <w:multiLevelType w:val="hybridMultilevel"/>
    <w:tmpl w:val="4EA0B762"/>
    <w:lvl w:ilvl="0" w:tplc="040C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1">
    <w:nsid w:val="69EB3292"/>
    <w:multiLevelType w:val="multilevel"/>
    <w:tmpl w:val="8998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10"/>
  </w:num>
  <w:num w:numId="7">
    <w:abstractNumId w:val="2"/>
  </w:num>
  <w:num w:numId="8">
    <w:abstractNumId w:val="1"/>
  </w:num>
  <w:num w:numId="9">
    <w:abstractNumId w:val="9"/>
  </w:num>
  <w:num w:numId="10">
    <w:abstractNumId w:val="3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DC"/>
    <w:rsid w:val="00094B84"/>
    <w:rsid w:val="001E4695"/>
    <w:rsid w:val="004164DC"/>
    <w:rsid w:val="004F5B81"/>
    <w:rsid w:val="00526A85"/>
    <w:rsid w:val="00600CB5"/>
    <w:rsid w:val="00637DB5"/>
    <w:rsid w:val="007B09A9"/>
    <w:rsid w:val="00983FAD"/>
    <w:rsid w:val="009A392A"/>
    <w:rsid w:val="00A50CF7"/>
    <w:rsid w:val="00A82593"/>
    <w:rsid w:val="00B02DD0"/>
    <w:rsid w:val="00C23B17"/>
    <w:rsid w:val="00CE536C"/>
    <w:rsid w:val="00D430F3"/>
    <w:rsid w:val="00D72227"/>
    <w:rsid w:val="00D91948"/>
    <w:rsid w:val="00E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64D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26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6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64D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26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6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9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328D8-8473-45DE-8096-B7CF92FC3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Jegout</dc:creator>
  <cp:lastModifiedBy>Candice Lartigue</cp:lastModifiedBy>
  <cp:revision>14</cp:revision>
  <cp:lastPrinted>2018-11-21T08:19:00Z</cp:lastPrinted>
  <dcterms:created xsi:type="dcterms:W3CDTF">2018-11-25T22:02:00Z</dcterms:created>
  <dcterms:modified xsi:type="dcterms:W3CDTF">2019-02-13T13:51:00Z</dcterms:modified>
</cp:coreProperties>
</file>